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货物类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21942"/>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5"/>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_Toc23443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_Toc23443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_Toc31935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_Toc31935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_Toc10891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bookmarkStart w:id="262" w:name="_GoBack"/>
      <w:bookmarkEnd w:id="262"/>
      <w:r>
        <w:tab/>
      </w:r>
      <w:r>
        <w:fldChar w:fldCharType="begin"/>
      </w:r>
      <w:r>
        <w:instrText xml:space="preserve"> PAGEREF _Toc10891 \h </w:instrText>
      </w:r>
      <w:r>
        <w:fldChar w:fldCharType="separate"/>
      </w:r>
      <w:r>
        <w:t>18</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_Toc4328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_Toc4328 \h </w:instrText>
      </w:r>
      <w:r>
        <w:fldChar w:fldCharType="separate"/>
      </w:r>
      <w:r>
        <w:t>20</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_Toc16417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_Toc16417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_Toc4682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_Toc4682 \h </w:instrText>
      </w:r>
      <w:r>
        <w:fldChar w:fldCharType="separate"/>
      </w:r>
      <w:r>
        <w:t>28</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_Toc22492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_Toc22492 \h </w:instrText>
      </w:r>
      <w:r>
        <w:fldChar w:fldCharType="separate"/>
      </w:r>
      <w:r>
        <w:t>37</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_Toc18131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_Toc18131 \h </w:instrText>
      </w:r>
      <w:r>
        <w:fldChar w:fldCharType="separate"/>
      </w:r>
      <w:r>
        <w:t>53</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344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5842"/>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26178"/>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10"/>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采购。即：提供的货物全部由符合政策要求的中小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小微企业制造。</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10" w:name="_Toc32089"/>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19726"/>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28531"/>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8807"/>
      <w:bookmarkStart w:id="17" w:name="_Toc35393626"/>
      <w:bookmarkStart w:id="18" w:name="_Toc35393795"/>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3854"/>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3193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3114"/>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1"/>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不组织，投标人</w:t>
            </w:r>
            <w:r>
              <w:rPr>
                <w:rFonts w:hint="eastAsia" w:ascii="宋体" w:hAnsi="宋体" w:eastAsia="宋体"/>
                <w:bCs/>
                <w:color w:val="auto"/>
                <w:sz w:val="24"/>
                <w:highlight w:val="none"/>
              </w:rPr>
              <w:t>自行考察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如投标人未参加采购人统一组织的现场考察，视同放弃现场考察，由此引起的一切责任由投标人自行承担。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29"/>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9"/>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4"/>
                <w:highlight w:val="none"/>
              </w:rPr>
              <w:sym w:font="Wingdings" w:char="00FE"/>
            </w: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29"/>
              <w:widowControl w:val="0"/>
              <w:spacing w:before="0" w:beforeAutospacing="0" w:after="0" w:afterAutospacing="0" w:line="360" w:lineRule="auto"/>
              <w:jc w:val="both"/>
              <w:rPr>
                <w:rFonts w:hint="default"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最低评标价法</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9"/>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7"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签订合同和合同公开时间</w:t>
            </w:r>
          </w:p>
        </w:tc>
        <w:tc>
          <w:tcPr>
            <w:tcW w:w="3244" w:type="pct"/>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b/>
                <w:bCs/>
                <w:color w:val="auto"/>
                <w:kern w:val="0"/>
                <w:sz w:val="24"/>
                <w:szCs w:val="24"/>
                <w:highlight w:val="none"/>
              </w:rPr>
            </w:pPr>
            <w:r>
              <w:rPr>
                <w:rFonts w:hint="eastAsia" w:ascii="宋体" w:hAnsi="宋体" w:eastAsia="宋体" w:cs="宋体"/>
                <w:b w:val="0"/>
                <w:bCs w:val="0"/>
                <w:color w:val="auto"/>
                <w:sz w:val="24"/>
                <w:szCs w:val="24"/>
                <w:highlight w:val="none"/>
                <w:lang w:val="en-US" w:eastAsia="zh-CN"/>
              </w:rPr>
              <w:t>采购人与中标人应当自发出中标通知书之日起7个工作日内签订合同，采购合同签订之日起2个工作日内完成政府采购合同公开。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29"/>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29"/>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29"/>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29"/>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29"/>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24882"/>
      <w:bookmarkStart w:id="25" w:name="_Toc14880"/>
      <w:r>
        <w:rPr>
          <w:rFonts w:hint="eastAsia" w:asciiTheme="minorEastAsia" w:hAnsiTheme="minorEastAsia" w:eastAsiaTheme="minorEastAsia"/>
          <w:b/>
          <w:color w:val="auto"/>
          <w:sz w:val="24"/>
          <w:szCs w:val="24"/>
          <w:highlight w:val="none"/>
        </w:rPr>
        <w:t>二、</w:t>
      </w:r>
      <w:r>
        <w:rPr>
          <w:rFonts w:asciiTheme="minorEastAsia" w:hAnsiTheme="minorEastAsia" w:eastAsiaTheme="minorEastAsia"/>
          <w:b/>
          <w:color w:val="auto"/>
          <w:sz w:val="24"/>
          <w:szCs w:val="24"/>
          <w:highlight w:val="none"/>
        </w:rPr>
        <w:t>投标人须知</w:t>
      </w:r>
      <w:r>
        <w:rPr>
          <w:rFonts w:hint="eastAsia" w:asciiTheme="minorEastAsia" w:hAnsiTheme="minorEastAsia" w:eastAsiaTheme="minorEastAsia"/>
          <w:b/>
          <w:color w:val="auto"/>
          <w:sz w:val="24"/>
          <w:szCs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投标人、评标委员会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hint="eastAsia" w:asciiTheme="minorEastAsia" w:hAnsiTheme="minorEastAsia" w:eastAsiaTheme="minorEastAsia"/>
          <w:b/>
          <w:color w:val="auto"/>
          <w:sz w:val="24"/>
          <w:highlight w:val="none"/>
        </w:rPr>
        <w:t>.招标文件构成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.2招标文件中有不一致的，有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.4原则上采购人、采购代理机构不要求投标人提供样品。除仅凭书面方式不能准确描述采购需求，或者需要对样品进行主观判断以确认是否满足采购需求等特殊情况除外。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，对样品的评审方法及评审标准见招标文件第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.5投标人应认真阅读招标文件所有的事项、格式、条款和技术规范等。</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6.招标文件的澄清与修改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2采购人可主动地或在解答投标人提出的问题时对招标文件进行澄清与修改。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7.投标范围及投标文件中标准和计量单位的使用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投标人所投货物及伴随的服务和工程均应符合国家强制性标准。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.2如一个分包内只有一种产品，不同投标人所投产品为同一品牌的，按如下方式处理：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.2.1如本项目使用最低评标价法，提供相同品牌产品的不同投标人以其中通过资格审查、符合性审查且报价最低的参加评标；报价相同的，由采购人或者采购人委托评标委员会按照招标文件中评标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规定的方式确定一个参加评标的投标人；未规定的采取随机抽取方式确定，其他投标将被认定为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2.2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规定的方式确定一个投标人获得中标人推荐资格；未规定的采取随机抽取方式确定，其他同品牌投标人不作为中标候选人。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载明核心产品，多家投标人提供的核心产品品牌相同的，按第</w:t>
      </w: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款</w:t>
      </w:r>
      <w:r>
        <w:rPr>
          <w:rFonts w:asciiTheme="minorEastAsia" w:hAnsiTheme="minorEastAsia" w:eastAsiaTheme="minorEastAsia"/>
          <w:color w:val="auto"/>
          <w:sz w:val="24"/>
          <w:highlight w:val="none"/>
        </w:rPr>
        <w:t>规定处理。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asciiTheme="minorEastAsia" w:hAnsiTheme="minorEastAsia" w:eastAsiaTheme="minorEastAsia"/>
          <w:color w:val="auto"/>
          <w:sz w:val="24"/>
          <w:highlight w:val="none"/>
        </w:rPr>
        <w:t>4.2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4.3评标委员会对投标人提交的澄清、说明或补正有疑问的，可以要求投标人进一步澄清、说明或补正，直至满足评标委员会的要求。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5投标文件报价出现前后不一致的，按照下列规定修正：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（2）招标文件没有不合理条款、招标程序符合规定，需要采用其他采购方式采购的，采购人应当依法报财政部门批准。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则所投产品为节能产品、环境标志产品、不发达地区或少数民族地区产品者优先；若报价相同且所投产品同为节能产品、环境标志产品、不发达地区或少数民族地区产品的，则采取评标委员会随机抽取的方式确定中标候选顺序。</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2）采用综合评分法的，评标结果按评审后得分由高到低顺序排列。得分相同的，按投标报价由低到高顺序排列。得分与投标报价均相同的</w:t>
      </w:r>
      <w:r>
        <w:rPr>
          <w:rFonts w:hint="eastAsia" w:asciiTheme="minorEastAsia" w:hAnsiTheme="minorEastAsia" w:eastAsiaTheme="minorEastAsia"/>
          <w:color w:val="auto"/>
          <w:sz w:val="24"/>
          <w:highlight w:val="none"/>
        </w:rPr>
        <w:t>，则所投产品为节能产品、环境标志产品、不发达地区或少数民族地区产品者优先；若</w:t>
      </w:r>
      <w:r>
        <w:rPr>
          <w:rFonts w:asciiTheme="minorEastAsia" w:hAnsiTheme="minorEastAsia" w:eastAsiaTheme="minorEastAsia"/>
          <w:color w:val="auto"/>
          <w:sz w:val="24"/>
          <w:highlight w:val="none"/>
        </w:rPr>
        <w:t>得分与投标报价均相同</w:t>
      </w:r>
      <w:r>
        <w:rPr>
          <w:rFonts w:hint="eastAsia" w:asciiTheme="minorEastAsia" w:hAnsiTheme="minorEastAsia" w:eastAsiaTheme="minorEastAsia"/>
          <w:color w:val="auto"/>
          <w:sz w:val="24"/>
          <w:highlight w:val="none"/>
        </w:rPr>
        <w:t>且所投产品同为节能产品、环境标志产品、不发达地区或少数民族地区产品的，则采取评标委员会随机抽取的方式确定中标候选顺序。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4当出现法规规定的中标无效或中标结果无效情形时，采购人可依法与排名下一位的中标候选人另行签订合同，或依法重新开展采购活动。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2583661"/>
      <w:bookmarkStart w:id="30" w:name="_Toc518923100"/>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518923101"/>
      <w:bookmarkStart w:id="32" w:name="_Toc2583662"/>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33" w:name="_Toc10891"/>
      <w:r>
        <w:rPr>
          <w:rFonts w:hint="eastAsia" w:asciiTheme="minorEastAsia" w:hAnsiTheme="minorEastAsia" w:eastAsiaTheme="minorEastAsia"/>
          <w:b/>
          <w:color w:val="auto"/>
          <w:sz w:val="28"/>
          <w:highlight w:val="none"/>
        </w:rPr>
        <w:t>第三章  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，但不限制满足招标文件要求的国内产品参与竞争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w:t>
      </w:r>
      <w:r>
        <w:rPr>
          <w:rFonts w:hint="eastAsia" w:ascii="宋体" w:hAnsi="宋体" w:eastAsia="宋体"/>
          <w:color w:val="auto"/>
          <w:sz w:val="24"/>
          <w:szCs w:val="18"/>
          <w:highlight w:val="none"/>
          <w:lang w:eastAsia="zh-CN"/>
        </w:rPr>
        <w:t>.</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color w:val="auto"/>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highlight w:val="none"/>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2554"/>
      <w:bookmarkStart w:id="35" w:name="_Toc32151"/>
      <w:r>
        <w:rPr>
          <w:rFonts w:hint="eastAsia" w:ascii="宋体" w:hAnsi="宋体" w:eastAsia="宋体"/>
          <w:b/>
          <w:color w:val="auto"/>
          <w:sz w:val="24"/>
          <w:szCs w:val="18"/>
          <w:highlight w:val="none"/>
        </w:rPr>
        <w:t>一、采购需求前附表</w:t>
      </w:r>
      <w:bookmarkEnd w:id="34"/>
      <w:bookmarkEnd w:id="3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6" w:name="_Toc5944"/>
      <w:bookmarkStart w:id="37" w:name="_Toc7671"/>
      <w:r>
        <w:rPr>
          <w:rFonts w:hint="eastAsia" w:ascii="宋体" w:hAnsi="宋体" w:eastAsia="宋体"/>
          <w:b/>
          <w:bCs/>
          <w:color w:val="auto"/>
          <w:sz w:val="24"/>
          <w:szCs w:val="18"/>
          <w:highlight w:val="none"/>
        </w:rPr>
        <w:t>二、</w:t>
      </w:r>
      <w:r>
        <w:rPr>
          <w:rFonts w:hint="eastAsia" w:ascii="宋体" w:hAnsi="宋体" w:eastAsia="宋体"/>
          <w:b/>
          <w:color w:val="auto"/>
          <w:sz w:val="24"/>
          <w:szCs w:val="18"/>
          <w:highlight w:val="none"/>
        </w:rPr>
        <w:t>货物</w:t>
      </w:r>
      <w:r>
        <w:rPr>
          <w:rFonts w:hint="eastAsia" w:ascii="宋体" w:hAnsi="宋体" w:eastAsia="宋体"/>
          <w:b/>
          <w:bCs/>
          <w:color w:val="auto"/>
          <w:sz w:val="24"/>
          <w:szCs w:val="18"/>
          <w:highlight w:val="none"/>
        </w:rPr>
        <w:t>需求</w:t>
      </w:r>
      <w:bookmarkEnd w:id="36"/>
      <w:bookmarkEnd w:id="37"/>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1226"/>
        <w:gridCol w:w="1934"/>
        <w:gridCol w:w="1140"/>
        <w:gridCol w:w="1103"/>
        <w:gridCol w:w="2145"/>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序号</w:t>
            </w:r>
          </w:p>
        </w:tc>
        <w:tc>
          <w:tcPr>
            <w:tcW w:w="656"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货物名称</w:t>
            </w:r>
          </w:p>
        </w:tc>
        <w:tc>
          <w:tcPr>
            <w:tcW w:w="1035" w:type="pct"/>
            <w:vAlign w:val="center"/>
          </w:tcPr>
          <w:p>
            <w:pPr>
              <w:spacing w:line="360" w:lineRule="auto"/>
              <w:jc w:val="both"/>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技术参数及要求</w:t>
            </w:r>
          </w:p>
        </w:tc>
        <w:tc>
          <w:tcPr>
            <w:tcW w:w="61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数量</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（单位）</w:t>
            </w:r>
          </w:p>
        </w:tc>
        <w:tc>
          <w:tcPr>
            <w:tcW w:w="59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所属</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行业</w:t>
            </w:r>
          </w:p>
        </w:tc>
        <w:tc>
          <w:tcPr>
            <w:tcW w:w="1148"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533"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2</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3</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4</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5</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6</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7</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8</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9</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10</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bl>
    <w:p>
      <w:pPr>
        <w:spacing w:line="360" w:lineRule="auto"/>
        <w:ind w:firstLine="437"/>
        <w:outlineLvl w:val="1"/>
        <w:rPr>
          <w:rFonts w:ascii="宋体" w:hAnsi="宋体" w:eastAsia="宋体"/>
          <w:b/>
          <w:bCs/>
          <w:color w:val="auto"/>
          <w:sz w:val="24"/>
          <w:szCs w:val="18"/>
          <w:highlight w:val="none"/>
        </w:rPr>
      </w:pPr>
      <w:bookmarkStart w:id="38" w:name="_Toc4843"/>
      <w:bookmarkStart w:id="39" w:name="_Toc7421"/>
      <w:r>
        <w:rPr>
          <w:rFonts w:hint="eastAsia" w:ascii="宋体" w:hAnsi="宋体" w:eastAsia="宋体"/>
          <w:b/>
          <w:bCs/>
          <w:color w:val="auto"/>
          <w:sz w:val="24"/>
          <w:szCs w:val="18"/>
          <w:highlight w:val="none"/>
        </w:rPr>
        <w:t>三、报价要求</w:t>
      </w:r>
      <w:bookmarkEnd w:id="38"/>
      <w:bookmarkEnd w:id="39"/>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40" w:name="_Toc15293"/>
      <w:bookmarkStart w:id="41" w:name="_Toc14698"/>
      <w:r>
        <w:rPr>
          <w:rFonts w:hint="eastAsia" w:ascii="宋体" w:hAnsi="宋体" w:eastAsia="宋体"/>
          <w:b/>
          <w:bCs/>
          <w:color w:val="auto"/>
          <w:sz w:val="24"/>
          <w:szCs w:val="18"/>
          <w:highlight w:val="none"/>
        </w:rPr>
        <w:t>四、其他要求</w:t>
      </w:r>
      <w:bookmarkEnd w:id="40"/>
      <w:bookmarkEnd w:id="41"/>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2" w:name="_Toc6897"/>
      <w:bookmarkStart w:id="43" w:name="_Toc10710"/>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42"/>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43"/>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4" w:name="_Toc4328"/>
      <w:r>
        <w:rPr>
          <w:rFonts w:hint="eastAsia" w:asciiTheme="minorEastAsia" w:hAnsiTheme="minorEastAsia" w:eastAsiaTheme="minorEastAsia"/>
          <w:b/>
          <w:color w:val="auto"/>
          <w:sz w:val="28"/>
          <w:highlight w:val="none"/>
        </w:rPr>
        <w:t>第四章  评标方法和标准（最低评标价法）</w:t>
      </w:r>
      <w:bookmarkEnd w:id="44"/>
    </w:p>
    <w:p>
      <w:pPr>
        <w:spacing w:line="360" w:lineRule="auto"/>
        <w:ind w:firstLine="437"/>
        <w:outlineLvl w:val="1"/>
        <w:rPr>
          <w:rFonts w:asciiTheme="minorEastAsia" w:hAnsiTheme="minorEastAsia" w:eastAsiaTheme="minorEastAsia"/>
          <w:b/>
          <w:color w:val="auto"/>
          <w:sz w:val="24"/>
          <w:highlight w:val="none"/>
        </w:rPr>
      </w:pPr>
      <w:bookmarkStart w:id="45" w:name="_Toc6560"/>
      <w:bookmarkStart w:id="46" w:name="_Toc22115"/>
      <w:r>
        <w:rPr>
          <w:rFonts w:hint="eastAsia" w:asciiTheme="minorEastAsia" w:hAnsiTheme="minorEastAsia" w:eastAsiaTheme="minorEastAsia"/>
          <w:b/>
          <w:color w:val="auto"/>
          <w:sz w:val="24"/>
          <w:highlight w:val="none"/>
        </w:rPr>
        <w:t>一、总则</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7" w:name="_Toc27343"/>
      <w:bookmarkStart w:id="48" w:name="_Toc28533"/>
      <w:r>
        <w:rPr>
          <w:rFonts w:hint="eastAsia" w:asciiTheme="minorEastAsia" w:hAnsiTheme="minorEastAsia" w:eastAsiaTheme="minorEastAsia"/>
          <w:b/>
          <w:color w:val="auto"/>
          <w:sz w:val="24"/>
          <w:highlight w:val="none"/>
        </w:rPr>
        <w:t>二、评标方法</w:t>
      </w:r>
      <w:bookmarkEnd w:id="47"/>
      <w:bookmarkEnd w:id="48"/>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810"/>
        <w:gridCol w:w="4999"/>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49"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49"/>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符合招标文件采购需求中对付款方式、供货及安装期限、供货及安装地点、免费质保期的要求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符合招标文件采购需求中货物技术参数及要求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0" w:name="_Toc16417"/>
      <w:r>
        <w:rPr>
          <w:rFonts w:hint="eastAsia" w:asciiTheme="minorEastAsia" w:hAnsiTheme="minorEastAsia" w:eastAsiaTheme="minorEastAsia"/>
          <w:b/>
          <w:color w:val="auto"/>
          <w:sz w:val="28"/>
          <w:highlight w:val="none"/>
        </w:rPr>
        <w:t>第四章  评标方法和标准（综合评分法）</w:t>
      </w:r>
      <w:bookmarkEnd w:id="50"/>
    </w:p>
    <w:p>
      <w:pPr>
        <w:spacing w:line="360" w:lineRule="auto"/>
        <w:ind w:firstLine="437"/>
        <w:outlineLvl w:val="1"/>
        <w:rPr>
          <w:rFonts w:asciiTheme="minorEastAsia" w:hAnsiTheme="minorEastAsia" w:eastAsiaTheme="minorEastAsia"/>
          <w:b/>
          <w:color w:val="auto"/>
          <w:sz w:val="24"/>
          <w:highlight w:val="none"/>
        </w:rPr>
      </w:pPr>
      <w:bookmarkStart w:id="51" w:name="_Toc11823"/>
      <w:bookmarkStart w:id="52" w:name="_Toc1246"/>
      <w:r>
        <w:rPr>
          <w:rFonts w:hint="eastAsia" w:asciiTheme="minorEastAsia" w:hAnsiTheme="minorEastAsia" w:eastAsiaTheme="minorEastAsia"/>
          <w:b/>
          <w:color w:val="auto"/>
          <w:sz w:val="24"/>
          <w:highlight w:val="none"/>
        </w:rPr>
        <w:t>一、总则</w:t>
      </w:r>
      <w:bookmarkEnd w:id="51"/>
      <w:bookmarkEnd w:id="5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3" w:name="_Toc13117"/>
      <w:bookmarkStart w:id="54" w:name="_Toc31871"/>
      <w:r>
        <w:rPr>
          <w:rFonts w:hint="eastAsia" w:asciiTheme="minorEastAsia" w:hAnsiTheme="minorEastAsia" w:eastAsiaTheme="minorEastAsia"/>
          <w:b/>
          <w:color w:val="auto"/>
          <w:sz w:val="24"/>
          <w:highlight w:val="none"/>
        </w:rPr>
        <w:t>二、评标方法</w:t>
      </w:r>
      <w:bookmarkEnd w:id="53"/>
      <w:bookmarkEnd w:id="54"/>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符合招标文件采购需求中对付款方式、供货及安装期限、供货及安装地点、免费质保期的要求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符合招标文件采购需求中货物技术参数及要求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5" w:name="_Toc4682"/>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5"/>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56" w:name="_Toc22228"/>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56"/>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57" w:name="_Toc17299"/>
      <w:r>
        <w:rPr>
          <w:rFonts w:hint="eastAsia" w:cs="Times New Roman" w:asciiTheme="minorEastAsia" w:hAnsiTheme="minorEastAsia" w:eastAsiaTheme="minorEastAsia"/>
          <w:b/>
          <w:color w:val="000000" w:themeColor="text1"/>
          <w:sz w:val="28"/>
          <w:szCs w:val="28"/>
          <w14:textFill>
            <w14:solidFill>
              <w14:schemeClr w14:val="tx1"/>
            </w14:solidFill>
          </w14:textFill>
        </w:rPr>
        <w:t>（货物类）</w:t>
      </w:r>
      <w:bookmarkEnd w:id="57"/>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58" w:name="_Toc28655"/>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58"/>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以下简称：甲方</w:t>
      </w:r>
      <w:r>
        <w:rPr>
          <w:rFonts w:hint="eastAsia" w:asciiTheme="minorEastAsia" w:hAnsiTheme="minorEastAsia" w:eastAsiaTheme="min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组织的公开招标方式采购活动，经评标委员会评定，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）为本项目中标人，现</w:t>
      </w:r>
      <w:r>
        <w:rPr>
          <w:rFonts w:hint="eastAsia" w:cs="Times New Roman" w:asciiTheme="minorEastAsia" w:hAnsiTheme="minorEastAsia" w:eastAsiaTheme="minorEastAsia"/>
          <w:color w:val="000000" w:themeColor="text1"/>
          <w:sz w:val="24"/>
          <w:szCs w:val="24"/>
          <w14:textFill>
            <w14:solidFill>
              <w14:schemeClr w14:val="tx1"/>
            </w14:solidFill>
          </w14:textFill>
        </w:rPr>
        <w:t>按照采购文件确定的事项签订本合同。</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59" w:name="_Toc24059"/>
      <w:bookmarkStart w:id="60" w:name="_Toc2232"/>
      <w:bookmarkStart w:id="61" w:name="_Toc302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合同组成部分</w:t>
      </w:r>
      <w:bookmarkEnd w:id="59"/>
      <w:bookmarkEnd w:id="60"/>
      <w:bookmarkEnd w:id="61"/>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1.1.1本合同及其补充合同、变更协议；</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1.1.2中标通知书；</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1.1.3投标文件（含澄清或者说明文件）；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1.1.4招标文件（含澄清或者修改文件）；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1.1.5其他相关采购文件。</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2" w:name="_Toc24300"/>
      <w:bookmarkStart w:id="63" w:name="_Toc27126"/>
      <w:bookmarkStart w:id="64" w:name="_Toc2129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货物</w:t>
      </w:r>
      <w:bookmarkEnd w:id="62"/>
      <w:bookmarkEnd w:id="63"/>
      <w:bookmarkEnd w:id="64"/>
    </w:p>
    <w:tbl>
      <w:tblPr>
        <w:tblStyle w:val="5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515"/>
        <w:gridCol w:w="1515"/>
        <w:gridCol w:w="1512"/>
        <w:gridCol w:w="1512"/>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序号</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货物名称</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规格型号</w:t>
            </w: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单位</w:t>
            </w: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数量</w:t>
            </w:r>
          </w:p>
        </w:tc>
        <w:tc>
          <w:tcPr>
            <w:tcW w:w="1508"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08"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2</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08"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3</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08"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w:t>
            </w: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5"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12"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c>
          <w:tcPr>
            <w:tcW w:w="1508"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p>
        </w:tc>
      </w:tr>
    </w:tbl>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5" w:name="_Toc23292"/>
      <w:bookmarkStart w:id="66" w:name="_Toc21631"/>
      <w:bookmarkStart w:id="67" w:name="_Toc2155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3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价款</w:t>
      </w:r>
      <w:bookmarkEnd w:id="65"/>
      <w:bookmarkEnd w:id="66"/>
      <w:bookmarkEnd w:id="6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本合同总价为</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元</w:t>
      </w:r>
      <w:r>
        <w:rPr>
          <w:rFonts w:hint="eastAsia" w:cs="Times New Roman" w:asciiTheme="minorEastAsia" w:hAnsiTheme="minorEastAsia" w:eastAsiaTheme="minorEastAsia"/>
          <w:color w:val="000000" w:themeColor="text1"/>
          <w:sz w:val="24"/>
          <w:szCs w:val="24"/>
          <w14:textFill>
            <w14:solidFill>
              <w14:schemeClr w14:val="tx1"/>
            </w14:solidFill>
          </w14:textFill>
        </w:rPr>
        <w:t>（大写：人民币</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元）</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序号</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分项名称</w:t>
            </w:r>
          </w:p>
        </w:tc>
        <w:tc>
          <w:tcPr>
            <w:tcW w:w="3237" w:type="dxa"/>
            <w:gridSpan w:val="2"/>
            <w:vAlign w:val="center"/>
          </w:tcPr>
          <w:p>
            <w:pPr>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2</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3</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总价</w:t>
            </w: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8" w:name="_Toc10340"/>
      <w:bookmarkStart w:id="69" w:name="_Toc1814"/>
      <w:bookmarkStart w:id="70" w:name="_Toc22618"/>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 付款方式和发票开具方式</w:t>
      </w:r>
      <w:bookmarkEnd w:id="68"/>
      <w:bookmarkEnd w:id="69"/>
      <w:bookmarkEnd w:id="7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1.4.1</w:t>
      </w:r>
      <w:r>
        <w:rPr>
          <w:rFonts w:cs="Times New Roman" w:asciiTheme="minorEastAsia" w:hAnsiTheme="minorEastAsia" w:eastAsiaTheme="minorEastAsia"/>
          <w:color w:val="000000" w:themeColor="text1"/>
          <w:sz w:val="24"/>
          <w:szCs w:val="24"/>
          <w14:textFill>
            <w14:solidFill>
              <w14:schemeClr w14:val="tx1"/>
            </w14:solidFill>
          </w14:textFill>
        </w:rPr>
        <w:t>付款方式：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1.4.2发票开具方式：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1" w:name="_Toc32071"/>
      <w:bookmarkStart w:id="72" w:name="_Toc19304"/>
      <w:bookmarkStart w:id="73" w:name="_Toc284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 货物交付期限</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、地点和方式</w:t>
      </w:r>
      <w:bookmarkEnd w:id="71"/>
      <w:bookmarkEnd w:id="72"/>
      <w:bookmarkEnd w:id="73"/>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1.5.1交付期限</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1.5.2交付地点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1.5.3交付方式：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4" w:name="_Toc21423"/>
      <w:bookmarkStart w:id="75" w:name="_Toc19554"/>
      <w:bookmarkStart w:id="76" w:name="_Toc2725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1.6 违约责任</w:t>
      </w:r>
      <w:bookmarkEnd w:id="74"/>
      <w:bookmarkEnd w:id="75"/>
      <w:bookmarkEnd w:id="7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1.6.1</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除不可抗力外，如果乙方没有按照本合同约定的期限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地点和方式交付货物，那么甲方可要求乙方支付违约金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违约金按每迟延交付货物一日的应交付而未交付货物价格的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迟延交付货物的违约金计算数额达到前述最高限额之日起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甲方有权在要求乙方支付违约金的同时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，书面通知乙方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1.6.2</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除不可抗力外，如果甲方没有按照本合同约定的付款方式付款，那么乙方可要求甲方支付违约金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一日的应付而未付款的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，乙</w:t>
      </w:r>
      <w:r>
        <w:rPr>
          <w:rFonts w:cs="Times New Roman" w:asciiTheme="minorEastAsia" w:hAnsiTheme="minorEastAsia" w:eastAsiaTheme="minorEastAsia"/>
          <w:color w:val="000000" w:themeColor="text1"/>
          <w:sz w:val="24"/>
          <w:szCs w:val="24"/>
          <w14:textFill>
            <w14:solidFill>
              <w14:schemeClr w14:val="tx1"/>
            </w14:solidFill>
          </w14:textFill>
        </w:rPr>
        <w:t>方有权在要求甲方支付违约金的同时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，书面通知甲方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1.6.6如果出现政府采购监督管理部门在处理投诉事项期间，书面通知甲方暂停采购活动的情形，或者询问或质疑事项可能影响中标结果的，导致甲方中止履行合同的情形</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，均不视为甲方违约。</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cs="Times New Roman" w:asciiTheme="minorEastAsia" w:hAnsiTheme="minorEastAsia" w:eastAsiaTheme="minorEastAsia"/>
          <w:color w:val="000000" w:themeColor="text1"/>
          <w:sz w:val="24"/>
          <w:szCs w:val="24"/>
          <w:highlight w:val="none"/>
          <w14:textFill>
            <w14:solidFill>
              <w14:schemeClr w14:val="tx1"/>
            </w14:solidFill>
          </w14:textFill>
        </w:rPr>
        <w:t>1.6.7因甲方未按合同约定支付价款、未按合同约定受领标的物、擅自解除合同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auto"/>
          <w:sz w:val="24"/>
          <w:szCs w:val="24"/>
          <w:highlight w:val="none"/>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pPr>
      <w:bookmarkStart w:id="77" w:name="_Toc15583"/>
      <w:bookmarkStart w:id="78" w:name="_Toc16021"/>
      <w:bookmarkStart w:id="79" w:name="_Toc28375"/>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1.7</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合同</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争议的解决</w:t>
      </w:r>
      <w:bookmarkEnd w:id="77"/>
      <w:bookmarkEnd w:id="78"/>
      <w:bookmarkEnd w:id="7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本合</w:t>
      </w:r>
      <w:r>
        <w:rPr>
          <w:rFonts w:cs="Times New Roman" w:asciiTheme="minorEastAsia" w:hAnsiTheme="minorEastAsia" w:eastAsiaTheme="minorEastAsia"/>
          <w:color w:val="000000" w:themeColor="text1"/>
          <w:sz w:val="24"/>
          <w:szCs w:val="24"/>
          <w:highlight w:val="none"/>
          <w14:textFill>
            <w14:solidFill>
              <w14:schemeClr w14:val="tx1"/>
            </w14:solidFill>
          </w14:textFill>
        </w:rPr>
        <w:t>同履行过程中发生的任何争议，双方当事人均可</w:t>
      </w:r>
      <w:r>
        <w:rPr>
          <w:rFonts w:hint="eastAsia" w:cs="Times New Roman" w:asciiTheme="minorEastAsia" w:hAnsiTheme="minorEastAsia" w:eastAsiaTheme="minorEastAsia"/>
          <w:color w:val="000000" w:themeColor="text1"/>
          <w:sz w:val="24"/>
          <w:szCs w:val="24"/>
          <w14:textFill>
            <w14:solidFill>
              <w14:schemeClr w14:val="tx1"/>
            </w14:solidFill>
          </w14:textFill>
        </w:rPr>
        <w:t>通过和解或者调解解决；不愿和解、调解或者和解、调解不成的，可以选择下列第</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种方式解决：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1.7.1将争议提交</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仲裁委员会依申请仲裁时其现行有效的仲裁规则裁决；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1.7.2向</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人民法院起诉。</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80" w:name="_Toc11173"/>
      <w:bookmarkStart w:id="81" w:name="_Toc7245"/>
      <w:bookmarkStart w:id="82" w:name="_Toc15322"/>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合同生效</w:t>
      </w:r>
      <w:bookmarkEnd w:id="80"/>
      <w:bookmarkEnd w:id="81"/>
      <w:bookmarkEnd w:id="8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本合同自</w:t>
      </w:r>
      <w:r>
        <w:rPr>
          <w:rFonts w:hint="eastAsia" w:cs="Times New Roman" w:asciiTheme="minorEastAsia" w:hAnsiTheme="minorEastAsia" w:eastAsiaTheme="minorEastAsia"/>
          <w:color w:val="000000" w:themeColor="text1"/>
          <w:sz w:val="24"/>
          <w:szCs w:val="24"/>
          <w14:textFill>
            <w14:solidFill>
              <w14:schemeClr w14:val="tx1"/>
            </w14:solidFill>
          </w14:textFill>
        </w:rPr>
        <w:t>双方当事人盖章时</w:t>
      </w:r>
      <w:r>
        <w:rPr>
          <w:rFonts w:cs="Times New Roman" w:asciiTheme="minorEastAsia" w:hAnsiTheme="minorEastAsia" w:eastAsiaTheme="minorEastAsia"/>
          <w:color w:val="000000" w:themeColor="text1"/>
          <w:sz w:val="24"/>
          <w:szCs w:val="24"/>
          <w14:textFill>
            <w14:solidFill>
              <w14:schemeClr w14:val="tx1"/>
            </w14:solidFill>
          </w14:textFill>
        </w:rPr>
        <w:t>生效。</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bCs/>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甲 </w:t>
      </w:r>
      <w:r>
        <w:rPr>
          <w:rFonts w:cs="Times New Roman" w:asciiTheme="minorEastAsia" w:hAnsiTheme="minorEastAsia" w:eastAsiaTheme="minorEastAsia"/>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          乙方：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 xml:space="preserve">法定代表人                             </w:t>
      </w:r>
      <w:r>
        <w:rPr>
          <w:rFonts w:cs="Times New Roman" w:asciiTheme="minorEastAsia" w:hAnsiTheme="minorEastAsia" w:eastAsiaTheme="minorEastAsia"/>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法定代表人</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或授权代表（签字）：                      或授权代表（签字）：</w:t>
      </w:r>
    </w:p>
    <w:p>
      <w:pPr>
        <w:widowControl/>
        <w:spacing w:line="560" w:lineRule="exact"/>
        <w:jc w:val="left"/>
        <w:rPr>
          <w:rFonts w:cs="Times New Roman" w:asciiTheme="minorEastAsia" w:hAnsiTheme="minorEastAsia" w:eastAsiaTheme="minorEastAsia"/>
          <w:bCs/>
          <w:color w:val="000000" w:themeColor="text1"/>
          <w:sz w:val="24"/>
          <w:szCs w:val="24"/>
          <w14:textFill>
            <w14:solidFill>
              <w14:schemeClr w14:val="tx1"/>
            </w14:solidFill>
          </w14:textFill>
        </w:rPr>
      </w:pPr>
      <w:bookmarkStart w:id="83" w:name="_Toc331685783"/>
      <w:r>
        <w:rPr>
          <w:rFonts w:hint="eastAsia" w:cs="Times New Roman" w:asciiTheme="minorEastAsia" w:hAnsiTheme="minorEastAsia" w:eastAsiaTheme="minorEastAsia"/>
          <w:bCs/>
          <w:color w:val="000000" w:themeColor="text1"/>
          <w:sz w:val="24"/>
          <w:szCs w:val="24"/>
          <w14:textFill>
            <w14:solidFill>
              <w14:schemeClr w14:val="tx1"/>
            </w14:solidFill>
          </w14:textFill>
        </w:rPr>
        <w:t>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               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w:t>
      </w:r>
    </w:p>
    <w:p>
      <w:pPr>
        <w:spacing w:line="56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olor w:val="000000" w:themeColor="text1"/>
          <w:sz w:val="24"/>
          <w:szCs w:val="24"/>
          <w14:textFill>
            <w14:solidFill>
              <w14:schemeClr w14:val="tx1"/>
            </w14:solidFill>
          </w14:textFill>
        </w:rPr>
        <w:t xml:space="preserve"> 乙方账户信息</w:t>
      </w:r>
    </w:p>
    <w:p>
      <w:pPr>
        <w:spacing w:line="56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olor w:val="000000" w:themeColor="text1"/>
          <w:sz w:val="24"/>
          <w:szCs w:val="24"/>
          <w14:textFill>
            <w14:solidFill>
              <w14:schemeClr w14:val="tx1"/>
            </w14:solidFill>
          </w14:textFill>
        </w:rPr>
        <w:t xml:space="preserve"> 户名：</w:t>
      </w:r>
      <w:r>
        <w:rPr>
          <w:rFonts w:hint="eastAsia" w:asciiTheme="minorEastAsia" w:hAnsiTheme="minorEastAsia" w:eastAsiaTheme="minorEastAsia"/>
          <w:color w:val="000000" w:themeColor="text1"/>
          <w:sz w:val="24"/>
          <w:szCs w:val="24"/>
          <w:u w:val="single"/>
          <w14:textFill>
            <w14:solidFill>
              <w14:schemeClr w14:val="tx1"/>
            </w14:solidFill>
          </w14:textFill>
        </w:rPr>
        <w:t xml:space="preserve">            </w:t>
      </w:r>
    </w:p>
    <w:p>
      <w:pPr>
        <w:spacing w:line="56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 xml:space="preserve">                                         账号：</w:t>
      </w:r>
      <w:r>
        <w:rPr>
          <w:rFonts w:hint="eastAsia" w:asciiTheme="minorEastAsia" w:hAnsiTheme="minorEastAsia" w:eastAsiaTheme="minorEastAsia"/>
          <w:color w:val="000000" w:themeColor="text1"/>
          <w:sz w:val="24"/>
          <w:szCs w:val="24"/>
          <w:u w:val="single"/>
          <w14:textFill>
            <w14:solidFill>
              <w14:schemeClr w14:val="tx1"/>
            </w14:solidFill>
          </w14:textFill>
        </w:rPr>
        <w:t xml:space="preserve">            </w:t>
      </w:r>
    </w:p>
    <w:p>
      <w:pPr>
        <w:spacing w:line="56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olor w:val="000000" w:themeColor="text1"/>
          <w:sz w:val="24"/>
          <w:szCs w:val="24"/>
          <w14:textFill>
            <w14:solidFill>
              <w14:schemeClr w14:val="tx1"/>
            </w14:solidFill>
          </w14:textFill>
        </w:rPr>
        <w:t>开户银行：</w:t>
      </w:r>
      <w:r>
        <w:rPr>
          <w:rFonts w:hint="eastAsia" w:asciiTheme="minorEastAsia" w:hAnsiTheme="minorEastAsia" w:eastAsiaTheme="minorEastAsia"/>
          <w:color w:val="000000" w:themeColor="text1"/>
          <w:sz w:val="24"/>
          <w:szCs w:val="24"/>
          <w:u w:val="single"/>
          <w14:textFill>
            <w14:solidFill>
              <w14:schemeClr w14:val="tx1"/>
            </w14:solidFill>
          </w14:textFill>
        </w:rPr>
        <w:t xml:space="preserve">        </w:t>
      </w:r>
    </w:p>
    <w:p>
      <w:pPr>
        <w:widowControl/>
        <w:jc w:val="left"/>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br w:type="page"/>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84" w:name="_Toc28159"/>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83"/>
      <w:bookmarkEnd w:id="84"/>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85" w:name="_Ref467379094"/>
      <w:bookmarkStart w:id="86" w:name="_Ref467378404"/>
      <w:bookmarkStart w:id="87" w:name="_Toc19614"/>
      <w:bookmarkStart w:id="88" w:name="_Toc487900349"/>
      <w:bookmarkStart w:id="89" w:name="_Toc28763"/>
      <w:bookmarkStart w:id="90" w:name="_Ref467379214"/>
      <w:bookmarkStart w:id="91" w:name="_Ref467378499"/>
      <w:bookmarkStart w:id="92" w:name="_Ref467378463"/>
      <w:bookmarkStart w:id="93" w:name="_Ref467379205"/>
      <w:bookmarkStart w:id="94" w:name="_Ref467379225"/>
      <w:bookmarkStart w:id="95" w:name="_Ref467379109"/>
      <w:bookmarkStart w:id="96" w:name="_Ref467379101"/>
      <w:bookmarkStart w:id="97" w:name="_Ref467379195"/>
      <w:bookmarkStart w:id="98" w:name="_Toc16917"/>
      <w:bookmarkStart w:id="99" w:name="_Toc259093669"/>
      <w:bookmarkStart w:id="100" w:name="_Toc27970124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定义</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本合同中的下列</w:t>
      </w:r>
      <w:r>
        <w:rPr>
          <w:rFonts w:hint="eastAsia" w:cs="Times New Roman" w:asciiTheme="minorEastAsia" w:hAnsiTheme="minorEastAsia" w:eastAsiaTheme="minorEastAsia"/>
          <w:color w:val="000000" w:themeColor="text1"/>
          <w:sz w:val="24"/>
          <w:szCs w:val="24"/>
          <w14:textFill>
            <w14:solidFill>
              <w14:schemeClr w14:val="tx1"/>
            </w14:solidFill>
          </w14:textFill>
        </w:rPr>
        <w:t>词</w:t>
      </w:r>
      <w:r>
        <w:rPr>
          <w:rFonts w:cs="Times New Roman" w:asciiTheme="minorEastAsia" w:hAnsiTheme="minorEastAsia" w:eastAsiaTheme="minorEastAsia"/>
          <w:color w:val="000000" w:themeColor="text1"/>
          <w:sz w:val="24"/>
          <w:szCs w:val="24"/>
          <w14:textFill>
            <w14:solidFill>
              <w14:schemeClr w14:val="tx1"/>
            </w14:solidFill>
          </w14:textFill>
        </w:rPr>
        <w:t>语应</w:t>
      </w:r>
      <w:r>
        <w:rPr>
          <w:rFonts w:hint="eastAsia" w:cs="Times New Roman" w:asciiTheme="minorEastAsia" w:hAnsiTheme="minorEastAsia" w:eastAsiaTheme="minorEastAsia"/>
          <w:color w:val="000000" w:themeColor="text1"/>
          <w:sz w:val="24"/>
          <w:szCs w:val="24"/>
          <w14:textFill>
            <w14:solidFill>
              <w14:schemeClr w14:val="tx1"/>
            </w14:solidFill>
          </w14:textFill>
        </w:rPr>
        <w:t>按以下内容进行</w:t>
      </w:r>
      <w:r>
        <w:rPr>
          <w:rFonts w:cs="Times New Roman" w:asciiTheme="minorEastAsia" w:hAnsiTheme="minorEastAsia" w:eastAsiaTheme="minorEastAsia"/>
          <w:color w:val="000000" w:themeColor="text1"/>
          <w:sz w:val="24"/>
          <w:szCs w:val="24"/>
          <w14:textFill>
            <w14:solidFill>
              <w14:schemeClr w14:val="tx1"/>
            </w14:solidFill>
          </w14:textFill>
        </w:rPr>
        <w:t>解释：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.1</w:t>
      </w:r>
      <w:r>
        <w:rPr>
          <w:rFonts w:cs="Times New Roman" w:asciiTheme="minorEastAsia" w:hAnsiTheme="minorEastAsia" w:eastAsiaTheme="minorEastAsia"/>
          <w:color w:val="000000" w:themeColor="text1"/>
          <w:sz w:val="24"/>
          <w:szCs w:val="24"/>
          <w14:textFill>
            <w14:solidFill>
              <w14:schemeClr w14:val="tx1"/>
            </w14:solidFill>
          </w14:textFill>
        </w:rPr>
        <w:t>“合同”系指采购人和中标人签订的载明双方当事人所达成的协议，并包括所有的附件、附录和构成合同的其他文件。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1.2“合同价”系指根据合同约定，中标人在完全履行合同义务后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采购人应支付给中标人的价格。</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1.3“货物”系指</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根据合同约定应向采购人交付的一切</w:t>
      </w:r>
      <w:r>
        <w:rPr>
          <w:rFonts w:hint="eastAsia" w:cs="Times New Roman" w:asciiTheme="minorEastAsia" w:hAnsiTheme="minorEastAsia" w:eastAsiaTheme="minorEastAsia"/>
          <w:color w:val="000000" w:themeColor="text1"/>
          <w:sz w:val="24"/>
          <w:szCs w:val="24"/>
          <w14:textFill>
            <w14:solidFill>
              <w14:schemeClr w14:val="tx1"/>
            </w14:solidFill>
          </w14:textFill>
        </w:rPr>
        <w:t>各种形态和种类的物品，包括原材料、燃料、设备、</w:t>
      </w:r>
      <w:r>
        <w:rPr>
          <w:rFonts w:cs="Times New Roman" w:asciiTheme="minorEastAsia" w:hAnsiTheme="minorEastAsia" w:eastAsiaTheme="minorEastAsia"/>
          <w:color w:val="000000" w:themeColor="text1"/>
          <w:sz w:val="24"/>
          <w:szCs w:val="24"/>
          <w14:textFill>
            <w14:solidFill>
              <w14:schemeClr w14:val="tx1"/>
            </w14:solidFill>
          </w14:textFill>
        </w:rPr>
        <w:t>机械、仪表、备件</w:t>
      </w:r>
      <w:r>
        <w:rPr>
          <w:rFonts w:hint="eastAsia" w:cs="Times New Roman" w:asciiTheme="minorEastAsia" w:hAnsiTheme="minorEastAsia" w:eastAsiaTheme="minorEastAsia"/>
          <w:color w:val="000000" w:themeColor="text1"/>
          <w:sz w:val="24"/>
          <w:szCs w:val="24"/>
          <w14:textFill>
            <w14:solidFill>
              <w14:schemeClr w14:val="tx1"/>
            </w14:solidFill>
          </w14:textFill>
        </w:rPr>
        <w:t>、计算机软件、产品等</w:t>
      </w:r>
      <w:r>
        <w:rPr>
          <w:rFonts w:cs="Times New Roman" w:asciiTheme="minorEastAsia" w:hAnsiTheme="minorEastAsia" w:eastAsiaTheme="minorEastAsia"/>
          <w:color w:val="000000" w:themeColor="text1"/>
          <w:sz w:val="24"/>
          <w:szCs w:val="24"/>
          <w14:textFill>
            <w14:solidFill>
              <w14:schemeClr w14:val="tx1"/>
            </w14:solidFill>
          </w14:textFill>
        </w:rPr>
        <w:t>，并包括工具、手册等其他相关资料。</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1" w:name="_Ref46737884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甲方</w:t>
      </w:r>
      <w:r>
        <w:rPr>
          <w:rFonts w:cs="Times New Roman" w:asciiTheme="minorEastAsia" w:hAnsiTheme="minorEastAsia" w:eastAsiaTheme="minorEastAsia"/>
          <w:color w:val="000000" w:themeColor="text1"/>
          <w:sz w:val="24"/>
          <w:szCs w:val="24"/>
          <w14:textFill>
            <w14:solidFill>
              <w14:schemeClr w14:val="tx1"/>
            </w14:solidFill>
          </w14:textFill>
        </w:rPr>
        <w:t>”系指与</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签署合同的采购人</w:t>
      </w:r>
      <w:bookmarkEnd w:id="101"/>
      <w:r>
        <w:rPr>
          <w:rFonts w:hint="eastAsia" w:cs="Times New Roman" w:asciiTheme="minorEastAsia" w:hAnsiTheme="minorEastAsia" w:eastAsiaTheme="minorEastAsia"/>
          <w:color w:val="000000" w:themeColor="text1"/>
          <w:sz w:val="24"/>
          <w:szCs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2" w:name="_Ref46737940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“乙方”系指根据合同约定交付货物的中标人</w:t>
      </w:r>
      <w:bookmarkEnd w:id="102"/>
      <w:r>
        <w:rPr>
          <w:rFonts w:hint="eastAsia" w:cs="Times New Roman" w:asciiTheme="minorEastAsia" w:hAnsiTheme="minorEastAsia" w:eastAsiaTheme="minorEastAsia"/>
          <w:color w:val="000000" w:themeColor="text1"/>
          <w:sz w:val="24"/>
          <w:szCs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3" w:name="_Ref467379436"/>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6</w:t>
      </w:r>
      <w:r>
        <w:rPr>
          <w:rFonts w:cs="Times New Roman" w:asciiTheme="minorEastAsia" w:hAnsiTheme="minorEastAsia" w:eastAsiaTheme="minorEastAsia"/>
          <w:color w:val="000000" w:themeColor="text1"/>
          <w:sz w:val="24"/>
          <w:szCs w:val="24"/>
          <w14:textFill>
            <w14:solidFill>
              <w14:schemeClr w14:val="tx1"/>
            </w14:solidFill>
          </w14:textFill>
        </w:rPr>
        <w:t>“现场”系指合同约定货物将要运至</w:t>
      </w:r>
      <w:r>
        <w:rPr>
          <w:rFonts w:hint="eastAsia" w:cs="Times New Roman" w:asciiTheme="minorEastAsia" w:hAnsiTheme="minorEastAsia" w:eastAsiaTheme="minorEastAsia"/>
          <w:color w:val="000000" w:themeColor="text1"/>
          <w:sz w:val="24"/>
          <w:szCs w:val="24"/>
          <w14:textFill>
            <w14:solidFill>
              <w14:schemeClr w14:val="tx1"/>
            </w14:solidFill>
          </w14:textFill>
        </w:rPr>
        <w:t>或者</w:t>
      </w:r>
      <w:r>
        <w:rPr>
          <w:rFonts w:cs="Times New Roman" w:asciiTheme="minorEastAsia" w:hAnsiTheme="minorEastAsia" w:eastAsiaTheme="minorEastAsia"/>
          <w:color w:val="000000" w:themeColor="text1"/>
          <w:sz w:val="24"/>
          <w:szCs w:val="24"/>
          <w14:textFill>
            <w14:solidFill>
              <w14:schemeClr w14:val="tx1"/>
            </w14:solidFill>
          </w14:textFill>
        </w:rPr>
        <w:t>安装的地点。</w:t>
      </w:r>
      <w:bookmarkEnd w:id="103"/>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04" w:name="_Toc32504"/>
      <w:bookmarkStart w:id="105" w:name="_Toc27635"/>
      <w:bookmarkStart w:id="106" w:name="_Toc13336"/>
      <w:bookmarkStart w:id="107" w:name="_Toc259093670"/>
      <w:bookmarkStart w:id="108" w:name="_Toc487900350"/>
      <w:bookmarkStart w:id="109" w:name="_Toc27970124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2 技术规范</w:t>
      </w:r>
      <w:bookmarkEnd w:id="104"/>
      <w:bookmarkEnd w:id="105"/>
      <w:bookmarkEnd w:id="106"/>
      <w:bookmarkEnd w:id="107"/>
      <w:bookmarkEnd w:id="108"/>
      <w:bookmarkEnd w:id="10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如果采购文件中没有技术规范的相应说明，那么应以国家有关部门最新颁布的相应标准</w:t>
      </w:r>
      <w:r>
        <w:rPr>
          <w:rFonts w:hint="eastAsia" w:cs="Times New Roman" w:asciiTheme="minorEastAsia" w:hAnsiTheme="minorEastAsia" w:eastAsiaTheme="minorEastAsia"/>
          <w:color w:val="000000" w:themeColor="text1"/>
          <w:sz w:val="24"/>
          <w:szCs w:val="24"/>
          <w14:textFill>
            <w14:solidFill>
              <w14:schemeClr w14:val="tx1"/>
            </w14:solidFill>
          </w14:textFill>
        </w:rPr>
        <w:t>和</w:t>
      </w:r>
      <w:r>
        <w:rPr>
          <w:rFonts w:cs="Times New Roman" w:asciiTheme="minorEastAsia" w:hAnsiTheme="minorEastAsia" w:eastAsiaTheme="minorEastAsia"/>
          <w:color w:val="000000" w:themeColor="text1"/>
          <w:sz w:val="24"/>
          <w:szCs w:val="24"/>
          <w14:textFill>
            <w14:solidFill>
              <w14:schemeClr w14:val="tx1"/>
            </w14:solidFill>
          </w14:textFill>
        </w:rPr>
        <w:t>规范为准。</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0" w:name="_Toc9829"/>
      <w:bookmarkStart w:id="111" w:name="_Toc487900351"/>
      <w:bookmarkStart w:id="112" w:name="_Toc259093671"/>
      <w:bookmarkStart w:id="113" w:name="_Toc279701242"/>
      <w:bookmarkStart w:id="114" w:name="_Toc27853"/>
      <w:bookmarkStart w:id="115" w:name="_Toc3163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3 知识产权</w:t>
      </w:r>
      <w:bookmarkEnd w:id="110"/>
      <w:bookmarkEnd w:id="111"/>
      <w:bookmarkEnd w:id="112"/>
      <w:bookmarkEnd w:id="113"/>
      <w:bookmarkEnd w:id="114"/>
      <w:bookmarkEnd w:id="11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2.3.1乙</w:t>
      </w:r>
      <w:r>
        <w:rPr>
          <w:rFonts w:cs="Times New Roman" w:asciiTheme="minorEastAsia" w:hAnsiTheme="minorEastAsia" w:eastAsiaTheme="minorEastAsia"/>
          <w:color w:val="000000" w:themeColor="text1"/>
          <w:sz w:val="24"/>
          <w:szCs w:val="24"/>
          <w14:textFill>
            <w14:solidFill>
              <w14:schemeClr w14:val="tx1"/>
            </w14:solidFill>
          </w14:textFill>
        </w:rPr>
        <w:t>方应保证甲方在使用该货物或其任何一部分时不受任何第三方提出的侵犯其著作权、商标权、专利权等知识产权方面的起诉</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如果任何第三方提出侵权</w:t>
      </w:r>
      <w:r>
        <w:rPr>
          <w:rFonts w:hint="eastAsia" w:cs="Times New Roman" w:asciiTheme="minorEastAsia" w:hAnsiTheme="minorEastAsia" w:eastAsiaTheme="minorEastAsia"/>
          <w:color w:val="000000" w:themeColor="text1"/>
          <w:sz w:val="24"/>
          <w:szCs w:val="24"/>
          <w14:textFill>
            <w14:solidFill>
              <w14:schemeClr w14:val="tx1"/>
            </w14:solidFill>
          </w14:textFill>
        </w:rPr>
        <w:t>指控</w:t>
      </w:r>
      <w:r>
        <w:rPr>
          <w:rFonts w:cs="Times New Roman" w:asciiTheme="minorEastAsia" w:hAnsiTheme="minorEastAsia" w:eastAsiaTheme="minorEastAsia"/>
          <w:color w:val="000000" w:themeColor="text1"/>
          <w:sz w:val="24"/>
          <w:szCs w:val="24"/>
          <w14:textFill>
            <w14:solidFill>
              <w14:schemeClr w14:val="tx1"/>
            </w14:solidFill>
          </w14:textFill>
        </w:rPr>
        <w:t>，那么乙方须与该第三方交涉并承担由此发生的一切责任、费用和赔偿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2.3.2具有知识产权的计算机软件等货物的知识产权归属，</w:t>
      </w: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16" w:name="_Toc11932"/>
      <w:bookmarkStart w:id="117" w:name="_Toc4194"/>
      <w:bookmarkStart w:id="118" w:name="_Toc2914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2.4</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包装和装运</w:t>
      </w:r>
      <w:bookmarkEnd w:id="116"/>
      <w:bookmarkEnd w:id="117"/>
      <w:bookmarkEnd w:id="118"/>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2.4.1除</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color w:val="000000" w:themeColor="text1"/>
          <w:sz w:val="24"/>
          <w:szCs w:val="24"/>
          <w14:textFill>
            <w14:solidFill>
              <w14:schemeClr w14:val="tx1"/>
            </w14:solidFill>
          </w14:textFill>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2.4.2装运货物的要求和通知，详见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9" w:name="_Ref467378541"/>
      <w:bookmarkStart w:id="120" w:name="_Ref467379527"/>
      <w:bookmarkStart w:id="121" w:name="_Toc487900354"/>
      <w:bookmarkStart w:id="122" w:name="_Toc279701245"/>
      <w:bookmarkStart w:id="123" w:name="_Ref467379542"/>
      <w:bookmarkStart w:id="124" w:name="_Toc259093674"/>
      <w:bookmarkStart w:id="125" w:name="_Ref467378591"/>
      <w:bookmarkStart w:id="126" w:name="_Ref467379536"/>
      <w:bookmarkStart w:id="127" w:name="_Toc30272"/>
      <w:bookmarkStart w:id="128" w:name="_Toc26182"/>
      <w:bookmarkStart w:id="129" w:name="_Toc190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bookmarkEnd w:id="119"/>
      <w:bookmarkEnd w:id="120"/>
      <w:bookmarkEnd w:id="121"/>
      <w:bookmarkEnd w:id="122"/>
      <w:bookmarkEnd w:id="123"/>
      <w:bookmarkEnd w:id="124"/>
      <w:bookmarkEnd w:id="125"/>
      <w:bookmarkEnd w:id="12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履约检查和问题反馈</w:t>
      </w:r>
      <w:bookmarkEnd w:id="127"/>
      <w:bookmarkEnd w:id="128"/>
      <w:bookmarkEnd w:id="12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30" w:name="_Ref467379657"/>
      <w:r>
        <w:rPr>
          <w:rFonts w:hint="eastAsia" w:cs="Times New Roman" w:asciiTheme="minorEastAsia" w:hAnsiTheme="minorEastAsia" w:eastAsiaTheme="minorEastAsia"/>
          <w:color w:val="000000" w:themeColor="text1"/>
          <w:sz w:val="24"/>
          <w:szCs w:val="24"/>
          <w14:textFill>
            <w14:solidFill>
              <w14:schemeClr w14:val="tx1"/>
            </w14:solidFill>
          </w14:textFill>
        </w:rPr>
        <w:t>2.5</w:t>
      </w:r>
      <w:r>
        <w:rPr>
          <w:rFonts w:cs="Times New Roman" w:asciiTheme="minorEastAsia" w:hAnsiTheme="minorEastAsia" w:eastAsiaTheme="minorEastAsia"/>
          <w:color w:val="000000" w:themeColor="text1"/>
          <w:sz w:val="24"/>
          <w:szCs w:val="24"/>
          <w14:textFill>
            <w14:solidFill>
              <w14:schemeClr w14:val="tx1"/>
            </w14:solidFill>
          </w14:textFill>
        </w:rPr>
        <w:t>.1</w:t>
      </w:r>
      <w:bookmarkEnd w:id="130"/>
      <w:bookmarkStart w:id="131" w:name="_Toc186431854"/>
      <w:bookmarkStart w:id="132" w:name="_Toc259093676"/>
      <w:bookmarkStart w:id="133" w:name="_Ref467379807"/>
      <w:bookmarkStart w:id="134" w:name="_Ref467379793"/>
      <w:bookmarkStart w:id="135" w:name="_Toc487900357"/>
      <w:bookmarkStart w:id="136" w:name="_Toc279701247"/>
      <w:r>
        <w:rPr>
          <w:rFonts w:cs="Times New Roman" w:asciiTheme="minorEastAsia" w:hAnsiTheme="minorEastAsia" w:eastAsiaTheme="minorEastAsia"/>
          <w:color w:val="000000" w:themeColor="text1"/>
          <w:sz w:val="24"/>
          <w:szCs w:val="24"/>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14:textFill>
            <w14:solidFill>
              <w14:schemeClr w14:val="tx1"/>
            </w14:solidFill>
          </w14:textFill>
        </w:rPr>
        <w:t>有权</w:t>
      </w:r>
      <w:r>
        <w:rPr>
          <w:rFonts w:cs="Times New Roman" w:asciiTheme="minorEastAsia" w:hAnsiTheme="minorEastAsia" w:eastAsiaTheme="minorEastAsia"/>
          <w:color w:val="000000" w:themeColor="text1"/>
          <w:sz w:val="24"/>
          <w:szCs w:val="24"/>
          <w14:textFill>
            <w14:solidFill>
              <w14:schemeClr w14:val="tx1"/>
            </w14:solidFill>
          </w14:textFill>
        </w:rPr>
        <w:t>在其认为必要时</w:t>
      </w:r>
      <w:r>
        <w:rPr>
          <w:rFonts w:hint="eastAsia" w:cs="Times New Roman" w:asciiTheme="minorEastAsia" w:hAnsiTheme="minorEastAsia" w:eastAsiaTheme="minorEastAsia"/>
          <w:color w:val="000000" w:themeColor="text1"/>
          <w:sz w:val="24"/>
          <w:szCs w:val="24"/>
          <w14:textFill>
            <w14:solidFill>
              <w14:schemeClr w14:val="tx1"/>
            </w14:solidFill>
          </w14:textFill>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2.5.2合同履行期间，甲方有权将履行过程中出现的问题反馈给乙方，双方当事人应以书面形式约定需要完善和改进的内容</w:t>
      </w:r>
      <w:bookmarkEnd w:id="131"/>
      <w:bookmarkStart w:id="137" w:name="_Toc186431855"/>
      <w:r>
        <w:rPr>
          <w:rFonts w:hint="eastAsia" w:cs="Times New Roman" w:asciiTheme="minorEastAsia" w:hAnsiTheme="minorEastAsia" w:eastAsiaTheme="minorEastAsia"/>
          <w:color w:val="000000" w:themeColor="text1"/>
          <w:sz w:val="24"/>
          <w:szCs w:val="24"/>
          <w14:textFill>
            <w14:solidFill>
              <w14:schemeClr w14:val="tx1"/>
            </w14:solidFill>
          </w14:textFill>
        </w:rPr>
        <w:t>。</w:t>
      </w:r>
    </w:p>
    <w:bookmarkEnd w:id="137"/>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38" w:name="_Toc7836"/>
      <w:bookmarkStart w:id="139" w:name="_Toc19219"/>
      <w:bookmarkStart w:id="140" w:name="_Toc2845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2.6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结算方式和付款条件</w:t>
      </w:r>
      <w:bookmarkEnd w:id="132"/>
      <w:bookmarkEnd w:id="133"/>
      <w:bookmarkEnd w:id="134"/>
      <w:bookmarkEnd w:id="135"/>
      <w:bookmarkEnd w:id="136"/>
      <w:bookmarkEnd w:id="138"/>
      <w:bookmarkEnd w:id="139"/>
      <w:bookmarkEnd w:id="14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1" w:name="_Toc279701248"/>
      <w:bookmarkStart w:id="142" w:name="_Toc259093677"/>
      <w:bookmarkStart w:id="143" w:name="_Toc487900358"/>
      <w:bookmarkStart w:id="144" w:name="_Ref467379852"/>
      <w:bookmarkStart w:id="145" w:name="_Ref467379923"/>
      <w:bookmarkStart w:id="146" w:name="_Ref467379863"/>
      <w:bookmarkStart w:id="147" w:name="_Toc3225"/>
      <w:bookmarkStart w:id="148" w:name="_Toc774"/>
      <w:bookmarkStart w:id="149" w:name="_Toc1611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2.7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技术资料</w:t>
      </w:r>
      <w:bookmarkEnd w:id="141"/>
      <w:bookmarkEnd w:id="142"/>
      <w:bookmarkEnd w:id="143"/>
      <w:bookmarkEnd w:id="144"/>
      <w:bookmarkEnd w:id="145"/>
      <w:bookmarkEnd w:id="146"/>
      <w:r>
        <w:rPr>
          <w:rFonts w:cs="Times New Roman" w:asciiTheme="minorEastAsia" w:hAnsiTheme="minorEastAsia" w:eastAsiaTheme="minorEastAsia"/>
          <w:b/>
          <w:bCs/>
          <w:color w:val="000000" w:themeColor="text1"/>
          <w:sz w:val="24"/>
          <w:szCs w:val="24"/>
          <w:lang w:val="zh-CN"/>
          <w14:textFill>
            <w14:solidFill>
              <w14:schemeClr w14:val="tx1"/>
            </w14:solidFill>
          </w14:textFill>
        </w:rPr>
        <w:t>和保密义务</w:t>
      </w:r>
      <w:bookmarkEnd w:id="147"/>
      <w:bookmarkEnd w:id="148"/>
      <w:bookmarkEnd w:id="14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2.7</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2.7.2乙方有义务妥善保管和保护由甲方提供的前款信息和资料等；</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2.7</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cs="Times New Roman" w:asciiTheme="minorEastAsia" w:hAnsiTheme="minorEastAsia" w:eastAsiaTheme="minorEastAsia"/>
          <w:color w:val="000000" w:themeColor="text1"/>
          <w:sz w:val="24"/>
          <w:szCs w:val="24"/>
          <w14:textFill>
            <w14:solidFill>
              <w14:schemeClr w14:val="tx1"/>
            </w14:solidFill>
          </w14:textFill>
        </w:rPr>
        <w:t>技术情报</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技术资料</w:t>
      </w:r>
      <w:r>
        <w:rPr>
          <w:rFonts w:hint="eastAsia" w:cs="Times New Roman" w:asciiTheme="minorEastAsia" w:hAnsiTheme="minorEastAsia" w:eastAsiaTheme="minorEastAsia"/>
          <w:color w:val="000000" w:themeColor="text1"/>
          <w:sz w:val="24"/>
          <w:szCs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0" w:name="_Toc7860"/>
      <w:r>
        <w:rPr>
          <w:rFonts w:cs="Times New Roman" w:asciiTheme="minorEastAsia" w:hAnsiTheme="minorEastAsia" w:eastAsiaTheme="minorEastAsia"/>
          <w:b/>
          <w:bCs/>
          <w:color w:val="000000" w:themeColor="text1"/>
          <w:sz w:val="24"/>
          <w:szCs w:val="24"/>
          <w:lang w:val="zh-CN"/>
          <w14:textFill>
            <w14:solidFill>
              <w14:schemeClr w14:val="tx1"/>
            </w14:solidFill>
          </w14:textFill>
        </w:rPr>
        <w:t>2.8 质量保证</w:t>
      </w:r>
      <w:bookmarkEnd w:id="15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2.8.1乙方应建立和完善履行合同的内部质量保证体系，并提供相关内部规章制度给甲方，以便甲方进行监督检查；</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1" w:name="_Toc17244"/>
      <w:bookmarkStart w:id="152" w:name="_Toc487900362"/>
      <w:bookmarkStart w:id="153" w:name="_Toc279701252"/>
      <w:bookmarkStart w:id="154" w:name="_Toc259093681"/>
      <w:r>
        <w:rPr>
          <w:rFonts w:cs="Times New Roman" w:asciiTheme="minorEastAsia" w:hAnsiTheme="minorEastAsia" w:eastAsiaTheme="minorEastAsia"/>
          <w:b/>
          <w:bCs/>
          <w:color w:val="000000" w:themeColor="text1"/>
          <w:sz w:val="24"/>
          <w:szCs w:val="24"/>
          <w:lang w:val="zh-CN"/>
          <w14:textFill>
            <w14:solidFill>
              <w14:schemeClr w14:val="tx1"/>
            </w14:solidFill>
          </w14:textFill>
        </w:rPr>
        <w:t>2.9 货物的风险负担</w:t>
      </w:r>
      <w:bookmarkEnd w:id="151"/>
    </w:p>
    <w:p>
      <w:pPr>
        <w:spacing w:line="360" w:lineRule="auto"/>
        <w:ind w:firstLine="435"/>
        <w:rPr>
          <w:rFonts w:cs="Times New Roman" w:asciiTheme="minorEastAsia" w:hAnsiTheme="minorEastAsia" w:eastAsiaTheme="minorEastAsia"/>
          <w:b/>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货物或者在途货物或者交付给第一承运人后的货物毁损、灭失的风险负担</w:t>
      </w: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5" w:name="_Toc14055"/>
      <w:r>
        <w:rPr>
          <w:rFonts w:cs="Times New Roman" w:asciiTheme="minorEastAsia" w:hAnsiTheme="minorEastAsia" w:eastAsiaTheme="minorEastAsia"/>
          <w:b/>
          <w:bCs/>
          <w:color w:val="000000" w:themeColor="text1"/>
          <w:sz w:val="24"/>
          <w:szCs w:val="24"/>
          <w:lang w:val="zh-CN"/>
          <w14:textFill>
            <w14:solidFill>
              <w14:schemeClr w14:val="tx1"/>
            </w14:solidFill>
          </w14:textFill>
        </w:rPr>
        <w:t>2.10 延迟交货</w:t>
      </w:r>
      <w:bookmarkEnd w:id="152"/>
      <w:bookmarkEnd w:id="153"/>
      <w:bookmarkEnd w:id="154"/>
      <w:bookmarkEnd w:id="15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在合同履行过程中，如果乙方遇到不能按时交付货物的情况，应及时以书面形式将不能按时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交付货物</w:t>
      </w:r>
      <w:r>
        <w:rPr>
          <w:rFonts w:cs="Times New Roman" w:asciiTheme="minorEastAsia" w:hAnsiTheme="minorEastAsia" w:eastAsiaTheme="minorEastAsia"/>
          <w:color w:val="000000" w:themeColor="text1"/>
          <w:sz w:val="24"/>
          <w:szCs w:val="24"/>
          <w14:textFill>
            <w14:solidFill>
              <w14:schemeClr w14:val="tx1"/>
            </w14:solidFill>
          </w14:textFill>
        </w:rPr>
        <w:t>的理由、预期延误时间通知甲方</w:t>
      </w:r>
      <w:r>
        <w:rPr>
          <w:rFonts w:hint="eastAsia" w:cs="Times New Roman" w:asciiTheme="minorEastAsia" w:hAnsiTheme="minorEastAsia" w:eastAsiaTheme="minorEastAsia"/>
          <w:color w:val="000000" w:themeColor="text1"/>
          <w:sz w:val="24"/>
          <w:szCs w:val="24"/>
          <w14:textFill>
            <w14:solidFill>
              <w14:schemeClr w14:val="tx1"/>
            </w14:solidFill>
          </w14:textFill>
        </w:rPr>
        <w:t>；甲</w:t>
      </w:r>
      <w:r>
        <w:rPr>
          <w:rFonts w:cs="Times New Roman" w:asciiTheme="minorEastAsia" w:hAnsiTheme="minorEastAsia" w:eastAsiaTheme="minorEastAsia"/>
          <w:color w:val="000000" w:themeColor="text1"/>
          <w:sz w:val="24"/>
          <w:szCs w:val="24"/>
          <w14:textFill>
            <w14:solidFill>
              <w14:schemeClr w14:val="tx1"/>
            </w14:solidFill>
          </w14:textFill>
        </w:rPr>
        <w:t>方收到乙方通知后，认为其理由正当的，可以书面形式酌情同意乙方可以延长交货的具体时间。</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6" w:name="_Toc7502"/>
      <w:bookmarkStart w:id="157" w:name="_Toc487900364"/>
      <w:bookmarkStart w:id="158" w:name="_Toc259093683"/>
      <w:bookmarkStart w:id="159" w:name="_Toc279701254"/>
      <w:bookmarkStart w:id="160" w:name="_Ref467378121"/>
      <w:r>
        <w:rPr>
          <w:rFonts w:cs="Times New Roman" w:asciiTheme="minorEastAsia" w:hAnsiTheme="minorEastAsia" w:eastAsiaTheme="minorEastAsia"/>
          <w:b/>
          <w:bCs/>
          <w:color w:val="000000" w:themeColor="text1"/>
          <w:sz w:val="24"/>
          <w:szCs w:val="24"/>
          <w:lang w:val="zh-CN"/>
          <w14:textFill>
            <w14:solidFill>
              <w14:schemeClr w14:val="tx1"/>
            </w14:solidFill>
          </w14:textFill>
        </w:rPr>
        <w:t>2.11 合同变更</w:t>
      </w:r>
      <w:bookmarkEnd w:id="15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2.11.1双方当事人协商一致，可以签订书面补充合同的形式变更合同，但不得违背采购文件确定的事项；</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2.11.2合同继续履行将损害国家利益和社会公共利益的，双方当事人应当以书面形式变更合同。有过错的一方应当承担赔偿责任，双方当事人都有过错的，各自承担相应的责任。</w:t>
      </w:r>
      <w:bookmarkStart w:id="161" w:name="_Toc259093688"/>
      <w:bookmarkStart w:id="162" w:name="_Toc487900369"/>
      <w:bookmarkStart w:id="163" w:name="_Toc279701259"/>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4" w:name="_Toc22955"/>
      <w:bookmarkStart w:id="165" w:name="_Toc15237"/>
      <w:bookmarkStart w:id="166" w:name="_Toc103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2.12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合同转让</w:t>
      </w:r>
      <w:bookmarkEnd w:id="161"/>
      <w:bookmarkEnd w:id="162"/>
      <w:bookmarkEnd w:id="163"/>
      <w:r>
        <w:rPr>
          <w:rFonts w:cs="Times New Roman" w:asciiTheme="minorEastAsia" w:hAnsiTheme="minorEastAsia" w:eastAsiaTheme="minorEastAsia"/>
          <w:b/>
          <w:bCs/>
          <w:color w:val="000000" w:themeColor="text1"/>
          <w:sz w:val="24"/>
          <w:szCs w:val="24"/>
          <w:lang w:val="zh-CN"/>
          <w14:textFill>
            <w14:solidFill>
              <w14:schemeClr w14:val="tx1"/>
            </w14:solidFill>
          </w14:textFill>
        </w:rPr>
        <w:t>和分包</w:t>
      </w:r>
      <w:bookmarkEnd w:id="164"/>
      <w:bookmarkEnd w:id="165"/>
      <w:bookmarkEnd w:id="16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合同的权利义务依法不</w:t>
      </w:r>
      <w:r>
        <w:rPr>
          <w:rFonts w:hint="eastAsia" w:cs="Times New Roman" w:asciiTheme="minorEastAsia" w:hAnsiTheme="minorEastAsia" w:eastAsiaTheme="minorEastAsia"/>
          <w:color w:val="000000" w:themeColor="text1"/>
          <w:sz w:val="24"/>
          <w:szCs w:val="24"/>
          <w14:textFill>
            <w14:solidFill>
              <w14:schemeClr w14:val="tx1"/>
            </w14:solidFill>
          </w14:textFill>
        </w:rPr>
        <w:t>得</w:t>
      </w:r>
      <w:r>
        <w:rPr>
          <w:rFonts w:cs="Times New Roman" w:asciiTheme="minorEastAsia" w:hAnsiTheme="minorEastAsia" w:eastAsiaTheme="minorEastAsia"/>
          <w:color w:val="000000" w:themeColor="text1"/>
          <w:sz w:val="24"/>
          <w:szCs w:val="24"/>
          <w14:textFill>
            <w14:solidFill>
              <w14:schemeClr w14:val="tx1"/>
            </w14:solidFill>
          </w14:textFill>
        </w:rPr>
        <w:t>转让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但经甲方</w:t>
      </w:r>
      <w:r>
        <w:rPr>
          <w:rFonts w:hint="eastAsia" w:cs="Times New Roman" w:asciiTheme="minorEastAsia" w:hAnsiTheme="minorEastAsia" w:eastAsiaTheme="minorEastAsia"/>
          <w:color w:val="000000" w:themeColor="text1"/>
          <w:sz w:val="24"/>
          <w:szCs w:val="24"/>
          <w14:textFill>
            <w14:solidFill>
              <w14:schemeClr w14:val="tx1"/>
            </w14:solidFill>
          </w14:textFill>
        </w:rPr>
        <w:t>同意，乙方可以依法采取分包方式履行合同，即：依法可以</w:t>
      </w:r>
      <w:r>
        <w:rPr>
          <w:rFonts w:cs="Times New Roman" w:asciiTheme="minorEastAsia" w:hAnsiTheme="minorEastAsia" w:eastAsiaTheme="minorEastAsia"/>
          <w:color w:val="000000" w:themeColor="text1"/>
          <w:sz w:val="24"/>
          <w:szCs w:val="24"/>
          <w14:textFill>
            <w14:solidFill>
              <w14:schemeClr w14:val="tx1"/>
            </w14:solidFill>
          </w14:textFill>
        </w:rPr>
        <w:t>将合同项下的部分非主体、非关键性工作分包给他人完成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接受分包的人应当具备相应的资格条件，并不得再次分包</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且乙方应就分包项目向甲方负责</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并</w:t>
      </w:r>
      <w:r>
        <w:rPr>
          <w:rFonts w:hint="eastAsia" w:cs="Times New Roman" w:asciiTheme="minorEastAsia" w:hAnsiTheme="minorEastAsia" w:eastAsiaTheme="minorEastAsia"/>
          <w:color w:val="000000" w:themeColor="text1"/>
          <w:sz w:val="24"/>
          <w:szCs w:val="24"/>
          <w14:textFill>
            <w14:solidFill>
              <w14:schemeClr w14:val="tx1"/>
            </w14:solidFill>
          </w14:textFill>
        </w:rPr>
        <w:t>与分包供应商就分包项目向甲方承担连带责任。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7" w:name="_Toc13566"/>
      <w:bookmarkStart w:id="168" w:name="_Toc16508"/>
      <w:bookmarkStart w:id="169" w:name="_Toc140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2.13</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不可抗力</w:t>
      </w:r>
      <w:bookmarkEnd w:id="167"/>
      <w:bookmarkEnd w:id="168"/>
      <w:bookmarkEnd w:id="16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2.13</w:t>
      </w:r>
      <w:r>
        <w:rPr>
          <w:rFonts w:cs="Times New Roman" w:asciiTheme="minorEastAsia" w:hAnsiTheme="minorEastAsia" w:eastAsiaTheme="minorEastAsia"/>
          <w:color w:val="000000" w:themeColor="text1"/>
          <w:sz w:val="24"/>
          <w:szCs w:val="24"/>
          <w14:textFill>
            <w14:solidFill>
              <w14:schemeClr w14:val="tx1"/>
            </w14:solidFill>
          </w14:textFill>
        </w:rPr>
        <w:t>.1如果任何一方遭遇法律规定的不可抗力，致使合同履行受阻时，履行合同的期限应予延长，延长的期限应相当于不可抗力所影响的时间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2.13.2因不可抗力致使不能实现合同目的的，当事人可以解除合同；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2.13.3因</w:t>
      </w:r>
      <w:r>
        <w:rPr>
          <w:rFonts w:cs="Times New Roman" w:asciiTheme="minorEastAsia" w:hAnsiTheme="minorEastAsia" w:eastAsiaTheme="minorEastAsia"/>
          <w:color w:val="000000" w:themeColor="text1"/>
          <w:sz w:val="24"/>
          <w:szCs w:val="24"/>
          <w14:textFill>
            <w14:solidFill>
              <w14:schemeClr w14:val="tx1"/>
            </w14:solidFill>
          </w14:textFill>
        </w:rPr>
        <w:t>不可抗力致使合同有变更必要的，双方当事人应在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约定时间内以书面形式变更合同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2.13</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受</w:t>
      </w:r>
      <w:r>
        <w:rPr>
          <w:rFonts w:hint="eastAsia" w:cs="Times New Roman" w:asciiTheme="minorEastAsia" w:hAnsiTheme="minorEastAsia" w:eastAsiaTheme="minorEastAsia"/>
          <w:color w:val="000000" w:themeColor="text1"/>
          <w:sz w:val="24"/>
          <w:szCs w:val="24"/>
          <w14:textFill>
            <w14:solidFill>
              <w14:schemeClr w14:val="tx1"/>
            </w14:solidFill>
          </w14:textFill>
        </w:rPr>
        <w:t>不可抗力</w:t>
      </w:r>
      <w:r>
        <w:rPr>
          <w:rFonts w:cs="Times New Roman" w:asciiTheme="minorEastAsia" w:hAnsiTheme="minorEastAsia" w:eastAsiaTheme="minorEastAsia"/>
          <w:color w:val="000000" w:themeColor="text1"/>
          <w:sz w:val="24"/>
          <w:szCs w:val="24"/>
          <w14:textFill>
            <w14:solidFill>
              <w14:schemeClr w14:val="tx1"/>
            </w14:solidFill>
          </w14:textFill>
        </w:rPr>
        <w:t>影响的一方在不可抗力发生后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约定时间内以书面形式通知</w:t>
      </w:r>
      <w:r>
        <w:rPr>
          <w:rFonts w:hint="eastAsia" w:cs="Times New Roman" w:asciiTheme="minorEastAsia" w:hAnsiTheme="minorEastAsia" w:eastAsiaTheme="minorEastAsia"/>
          <w:color w:val="000000" w:themeColor="text1"/>
          <w:sz w:val="24"/>
          <w:szCs w:val="24"/>
          <w14:textFill>
            <w14:solidFill>
              <w14:schemeClr w14:val="tx1"/>
            </w14:solidFill>
          </w14:textFill>
        </w:rPr>
        <w:t>对</w:t>
      </w:r>
      <w:r>
        <w:rPr>
          <w:rFonts w:cs="Times New Roman" w:asciiTheme="minorEastAsia" w:hAnsiTheme="minorEastAsia" w:eastAsiaTheme="minorEastAsia"/>
          <w:color w:val="000000" w:themeColor="text1"/>
          <w:sz w:val="24"/>
          <w:szCs w:val="24"/>
          <w14:textFill>
            <w14:solidFill>
              <w14:schemeClr w14:val="tx1"/>
            </w14:solidFill>
          </w14:textFill>
        </w:rPr>
        <w:t>方当事人，并在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约定时间内，将有关部门出具的证明文件送达</w:t>
      </w:r>
      <w:r>
        <w:rPr>
          <w:rFonts w:hint="eastAsia" w:cs="Times New Roman" w:asciiTheme="minorEastAsia" w:hAnsiTheme="minorEastAsia" w:eastAsiaTheme="minorEastAsia"/>
          <w:color w:val="000000" w:themeColor="text1"/>
          <w:sz w:val="24"/>
          <w:szCs w:val="24"/>
          <w14:textFill>
            <w14:solidFill>
              <w14:schemeClr w14:val="tx1"/>
            </w14:solidFill>
          </w14:textFill>
        </w:rPr>
        <w:t>对方当事人</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70" w:name="_Toc30676"/>
      <w:bookmarkStart w:id="171" w:name="_Toc279701255"/>
      <w:bookmarkStart w:id="172" w:name="_Toc487900365"/>
      <w:bookmarkStart w:id="173" w:name="_Toc689"/>
      <w:bookmarkStart w:id="174" w:name="_Toc6969"/>
      <w:bookmarkStart w:id="175" w:name="_Toc25909368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4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税费</w:t>
      </w:r>
      <w:bookmarkEnd w:id="170"/>
      <w:bookmarkEnd w:id="171"/>
      <w:bookmarkEnd w:id="172"/>
      <w:bookmarkEnd w:id="173"/>
      <w:bookmarkEnd w:id="174"/>
      <w:bookmarkEnd w:id="17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与合同有关的一切税费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均按照中华人民共和国法律的相关规定</w:t>
      </w:r>
      <w:r>
        <w:rPr>
          <w:rFonts w:hint="eastAsia" w:cs="Times New Roman" w:asciiTheme="minorEastAsia" w:hAnsiTheme="minorEastAsia" w:eastAsiaTheme="minorEastAsia"/>
          <w:color w:val="000000" w:themeColor="text1"/>
          <w:sz w:val="24"/>
          <w:szCs w:val="24"/>
          <w14:textFill>
            <w14:solidFill>
              <w14:schemeClr w14:val="tx1"/>
            </w14:solidFill>
          </w14:textFill>
        </w:rPr>
        <w:t>缴纳</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76" w:name="_Toc279701258"/>
      <w:bookmarkStart w:id="177" w:name="_Toc487900368"/>
      <w:bookmarkStart w:id="178" w:name="_Toc16959"/>
      <w:bookmarkStart w:id="179" w:name="_Toc8298"/>
      <w:bookmarkStart w:id="180" w:name="_Toc7102"/>
      <w:bookmarkStart w:id="181" w:name="_Toc259093687"/>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5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乙方破产</w:t>
      </w:r>
      <w:bookmarkEnd w:id="176"/>
      <w:bookmarkEnd w:id="177"/>
      <w:bookmarkEnd w:id="178"/>
      <w:bookmarkEnd w:id="179"/>
      <w:bookmarkEnd w:id="180"/>
      <w:bookmarkEnd w:id="18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如果乙方破产导致合同无法履行时，甲方可以书面形式通知乙方终止合同且不给予乙方任何补偿和赔偿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，但合同的</w:t>
      </w:r>
      <w:r>
        <w:rPr>
          <w:rFonts w:cs="Times New Roman" w:asciiTheme="minorEastAsia" w:hAnsiTheme="minorEastAsia" w:eastAsiaTheme="minorEastAsia"/>
          <w:color w:val="000000" w:themeColor="text1"/>
          <w:sz w:val="24"/>
          <w:szCs w:val="24"/>
          <w14:textFill>
            <w14:solidFill>
              <w14:schemeClr w14:val="tx1"/>
            </w14:solidFill>
          </w14:textFill>
        </w:rPr>
        <w:t>终止不损害或不影响甲方已经采取或将要采取的任何要求乙方支付违约金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赔偿损失等的行动或补救措施的权利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82" w:name="_Toc6134"/>
      <w:bookmarkStart w:id="183" w:name="_Toc29333"/>
      <w:bookmarkStart w:id="184" w:name="_Toc15387"/>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2.16 合同中止、终止</w:t>
      </w:r>
      <w:bookmarkEnd w:id="182"/>
      <w:bookmarkEnd w:id="183"/>
      <w:bookmarkEnd w:id="18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2.16.1双方当事人不得擅自中止或者终止合同；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85" w:name="_Toc6596"/>
      <w:bookmarkStart w:id="186" w:name="_Toc1125"/>
      <w:bookmarkStart w:id="187" w:name="_Toc14563"/>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2.17 检验和验收</w:t>
      </w:r>
      <w:bookmarkEnd w:id="185"/>
      <w:bookmarkEnd w:id="186"/>
      <w:bookmarkEnd w:id="18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7</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1货物交付前，乙方应对货物的质量、数量等方面进行详细、全面的检验，并向甲方出具证明货物符合合同约定的文件；货物交付时，乙方在</w:t>
      </w:r>
      <w:r>
        <w:rPr>
          <w:rFonts w:hint="eastAsia"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color w:val="000000" w:themeColor="text1"/>
          <w:sz w:val="24"/>
          <w:szCs w:val="24"/>
          <w14:textFill>
            <w14:solidFill>
              <w14:schemeClr w14:val="tx1"/>
            </w14:solidFill>
          </w14:textFill>
        </w:rPr>
        <w:t>约定时间内组织验收，并可依法邀请相关方参加，验收应出具验收书。</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2.17.3检验和验收标准、程序等具体内容以及前述验收书的效力详见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i/>
          <w:color w:val="000000" w:themeColor="text1"/>
          <w:sz w:val="24"/>
          <w:szCs w:val="24"/>
          <w14:textFill>
            <w14:solidFill>
              <w14:schemeClr w14:val="tx1"/>
            </w14:solidFill>
          </w14:textFill>
        </w:rPr>
        <w:t>。</w:t>
      </w:r>
    </w:p>
    <w:bookmarkEnd w:id="157"/>
    <w:bookmarkEnd w:id="158"/>
    <w:bookmarkEnd w:id="159"/>
    <w:bookmarkEnd w:id="160"/>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88" w:name="_Toc259093691"/>
      <w:bookmarkStart w:id="189" w:name="_Toc18540"/>
      <w:bookmarkStart w:id="190" w:name="_Toc487900372"/>
      <w:bookmarkStart w:id="191" w:name="_Toc4355"/>
      <w:bookmarkStart w:id="192" w:name="_Toc30599"/>
      <w:bookmarkStart w:id="193" w:name="_Toc279701262"/>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8</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计量单位</w:t>
      </w:r>
      <w:bookmarkEnd w:id="188"/>
      <w:bookmarkEnd w:id="189"/>
      <w:bookmarkEnd w:id="190"/>
      <w:bookmarkEnd w:id="191"/>
      <w:bookmarkEnd w:id="192"/>
      <w:bookmarkEnd w:id="19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除技术规范中另有规定外,合同的计量单位均使用国家法定计量单位。</w:t>
      </w:r>
    </w:p>
    <w:p>
      <w:pPr>
        <w:spacing w:line="360" w:lineRule="auto"/>
        <w:ind w:firstLine="437"/>
        <w:outlineLvl w:val="2"/>
        <w:rPr>
          <w:rFonts w:cs="Times New Roman" w:asciiTheme="minorEastAsia" w:hAnsiTheme="minorEastAsia" w:eastAsiaTheme="minorEastAsia"/>
          <w:b/>
          <w:bCs/>
          <w:color w:val="000000" w:themeColor="text1"/>
          <w:sz w:val="24"/>
          <w:szCs w:val="24"/>
          <w14:textFill>
            <w14:solidFill>
              <w14:schemeClr w14:val="tx1"/>
            </w14:solidFill>
          </w14:textFill>
        </w:rPr>
      </w:pPr>
      <w:bookmarkStart w:id="194" w:name="_Toc18567"/>
      <w:bookmarkStart w:id="195" w:name="_Toc259093692"/>
      <w:bookmarkStart w:id="196" w:name="_Toc12773"/>
      <w:bookmarkStart w:id="197" w:name="_Toc10330"/>
      <w:bookmarkStart w:id="198" w:name="_Toc279701263"/>
      <w:bookmarkStart w:id="199" w:name="_Toc487900373"/>
      <w:r>
        <w:rPr>
          <w:rFonts w:hint="eastAsia" w:cs="Times New Roman" w:asciiTheme="minorEastAsia" w:hAnsiTheme="minorEastAsia" w:eastAsiaTheme="minorEastAsia"/>
          <w:b/>
          <w:bCs/>
          <w:color w:val="000000" w:themeColor="text1"/>
          <w:sz w:val="24"/>
          <w:szCs w:val="24"/>
          <w14:textFill>
            <w14:solidFill>
              <w14:schemeClr w14:val="tx1"/>
            </w14:solidFill>
          </w14:textFill>
        </w:rPr>
        <w:t>2.</w:t>
      </w:r>
      <w:r>
        <w:rPr>
          <w:rFonts w:cs="Times New Roman" w:asciiTheme="minorEastAsia" w:hAnsiTheme="minorEastAsia" w:eastAsiaTheme="minorEastAsia"/>
          <w:b/>
          <w:bCs/>
          <w:color w:val="000000" w:themeColor="text1"/>
          <w:sz w:val="24"/>
          <w:szCs w:val="24"/>
          <w14:textFill>
            <w14:solidFill>
              <w14:schemeClr w14:val="tx1"/>
            </w14:solidFill>
          </w14:textFill>
        </w:rPr>
        <w:t>19</w:t>
      </w:r>
      <w:r>
        <w:rPr>
          <w:rFonts w:hint="eastAsia" w:cs="Times New Roman" w:asciiTheme="minorEastAsia" w:hAnsiTheme="minorEastAsia" w:eastAsiaTheme="minorEastAsia"/>
          <w:b/>
          <w:bCs/>
          <w:color w:val="000000" w:themeColor="text1"/>
          <w:sz w:val="24"/>
          <w:szCs w:val="24"/>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合同使用的文字和</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适用的法律</w:t>
      </w:r>
      <w:bookmarkEnd w:id="194"/>
      <w:bookmarkEnd w:id="195"/>
      <w:bookmarkEnd w:id="196"/>
      <w:bookmarkEnd w:id="197"/>
      <w:bookmarkEnd w:id="198"/>
      <w:bookmarkEnd w:id="19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19.1合同使用汉语书就</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变更和解释</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19</w:t>
      </w:r>
      <w:r>
        <w:rPr>
          <w:rFonts w:hint="eastAsia" w:cs="Times New Roman" w:asciiTheme="minorEastAsia" w:hAnsiTheme="minorEastAsia" w:eastAsiaTheme="minorEastAsia"/>
          <w:color w:val="000000" w:themeColor="text1"/>
          <w:sz w:val="24"/>
          <w:szCs w:val="24"/>
          <w14:textFill>
            <w14:solidFill>
              <w14:schemeClr w14:val="tx1"/>
            </w14:solidFill>
          </w14:textFill>
        </w:rPr>
        <w:t>.2合同适用</w:t>
      </w:r>
      <w:r>
        <w:rPr>
          <w:rFonts w:cs="Times New Roman" w:asciiTheme="minorEastAsia" w:hAnsiTheme="minorEastAsia" w:eastAsiaTheme="minorEastAsia"/>
          <w:color w:val="000000" w:themeColor="text1"/>
          <w:sz w:val="24"/>
          <w:szCs w:val="24"/>
          <w14:textFill>
            <w14:solidFill>
              <w14:schemeClr w14:val="tx1"/>
            </w14:solidFill>
          </w14:textFill>
        </w:rPr>
        <w:t>中华人民共和国法律。</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200" w:name="_Toc279701264"/>
      <w:bookmarkStart w:id="201" w:name="_Toc12004"/>
      <w:bookmarkStart w:id="202" w:name="_Toc259093693"/>
      <w:bookmarkStart w:id="203" w:name="_Toc16673"/>
      <w:bookmarkStart w:id="204" w:name="_Toc3148"/>
      <w:bookmarkStart w:id="205" w:name="_Toc4879003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0</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履约保证金</w:t>
      </w:r>
      <w:bookmarkEnd w:id="200"/>
      <w:bookmarkEnd w:id="201"/>
      <w:bookmarkEnd w:id="202"/>
      <w:bookmarkEnd w:id="203"/>
      <w:bookmarkEnd w:id="204"/>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2.2</w:t>
      </w:r>
      <w:r>
        <w:rPr>
          <w:rFonts w:cs="Times New Roman" w:asciiTheme="minorEastAsia" w:hAnsiTheme="minorEastAsia" w:eastAsiaTheme="minorEastAsia"/>
          <w:color w:val="000000" w:themeColor="text1"/>
          <w:sz w:val="24"/>
          <w:szCs w:val="24"/>
          <w:highlight w:val="none"/>
          <w14:textFill>
            <w14:solidFill>
              <w14:schemeClr w14:val="tx1"/>
            </w14:solidFill>
          </w14:textFill>
        </w:rPr>
        <w:t>0</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.1采购文件要求乙方提交履约保证金的，乙方</w:t>
      </w:r>
      <w:r>
        <w:rPr>
          <w:rFonts w:cs="Times New Roman" w:asciiTheme="minorEastAsia" w:hAnsiTheme="minorEastAsia" w:eastAsiaTheme="minorEastAsia"/>
          <w:color w:val="000000" w:themeColor="text1"/>
          <w:sz w:val="24"/>
          <w:szCs w:val="24"/>
          <w:highlight w:val="none"/>
          <w14:textFill>
            <w14:solidFill>
              <w14:schemeClr w14:val="tx1"/>
            </w14:solidFill>
          </w14:textFill>
        </w:rPr>
        <w:t>应按</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约定的方式</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，以支票、汇票、本票或者金融机构、担保机构出具的保函等非现金形式提交；</w:t>
      </w:r>
    </w:p>
    <w:p>
      <w:pPr>
        <w:spacing w:line="360" w:lineRule="auto"/>
        <w:ind w:firstLine="435"/>
        <w:rPr>
          <w:rFonts w:hint="default"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2.2</w:t>
      </w:r>
      <w:r>
        <w:rPr>
          <w:rFonts w:cs="Times New Roman" w:asciiTheme="minorEastAsia" w:hAnsiTheme="minorEastAsia" w:eastAsiaTheme="minorEastAsia"/>
          <w:color w:val="000000" w:themeColor="text1"/>
          <w:sz w:val="24"/>
          <w:szCs w:val="24"/>
          <w:highlight w:val="none"/>
          <w14:textFill>
            <w14:solidFill>
              <w14:schemeClr w14:val="tx1"/>
            </w14:solidFill>
          </w14:textFill>
        </w:rPr>
        <w:t>0.2履约保证金在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hint="eastAsia"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2.2</w:t>
      </w:r>
      <w:r>
        <w:rPr>
          <w:rFonts w:cs="Times New Roman" w:asciiTheme="minorEastAsia" w:hAnsiTheme="minorEastAsia" w:eastAsiaTheme="minorEastAsia"/>
          <w:color w:val="000000" w:themeColor="text1"/>
          <w:sz w:val="24"/>
          <w:szCs w:val="24"/>
          <w:highlight w:val="none"/>
          <w14:textFill>
            <w14:solidFill>
              <w14:schemeClr w14:val="tx1"/>
            </w14:solidFill>
          </w14:textFill>
        </w:rPr>
        <w:t>0</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.3</w:t>
      </w:r>
      <w:r>
        <w:rPr>
          <w:rFonts w:cs="Times New Roman" w:asciiTheme="minorEastAsia" w:hAnsiTheme="minorEastAsia" w:eastAsiaTheme="minorEastAsia"/>
          <w:color w:val="000000" w:themeColor="text1"/>
          <w:sz w:val="24"/>
          <w:szCs w:val="24"/>
          <w:highlight w:val="none"/>
          <w14:textFill>
            <w14:solidFill>
              <w14:schemeClr w14:val="tx1"/>
            </w14:solidFill>
          </w14:textFill>
        </w:rPr>
        <w:t>如果乙方不履行合同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，履约保证金不予退还；如果乙方</w:t>
      </w:r>
      <w:r>
        <w:rPr>
          <w:rFonts w:cs="Times New Roman" w:asciiTheme="minorEastAsia" w:hAnsiTheme="minorEastAsia" w:eastAsiaTheme="minorEastAsia"/>
          <w:color w:val="000000" w:themeColor="text1"/>
          <w:sz w:val="24"/>
          <w:szCs w:val="24"/>
          <w:highlight w:val="none"/>
          <w14:textFill>
            <w14:solidFill>
              <w14:schemeClr w14:val="tx1"/>
            </w14:solidFill>
          </w14:textFill>
        </w:rPr>
        <w:t>未能按合</w:t>
      </w:r>
      <w:r>
        <w:rPr>
          <w:rFonts w:cs="Times New Roman" w:asciiTheme="minorEastAsia" w:hAnsiTheme="minorEastAsia" w:eastAsiaTheme="minorEastAsia"/>
          <w:color w:val="000000" w:themeColor="text1"/>
          <w:sz w:val="24"/>
          <w:szCs w:val="24"/>
          <w14:textFill>
            <w14:solidFill>
              <w14:schemeClr w14:val="tx1"/>
            </w14:solidFill>
          </w14:textFill>
        </w:rPr>
        <w:t>同</w:t>
      </w:r>
      <w:r>
        <w:rPr>
          <w:rFonts w:hint="eastAsia" w:cs="Times New Roman" w:asciiTheme="minorEastAsia" w:hAnsiTheme="minorEastAsia" w:eastAsiaTheme="minorEastAsia"/>
          <w:color w:val="000000" w:themeColor="text1"/>
          <w:sz w:val="24"/>
          <w:szCs w:val="24"/>
          <w14:textFill>
            <w14:solidFill>
              <w14:schemeClr w14:val="tx1"/>
            </w14:solidFill>
          </w14:textFill>
        </w:rPr>
        <w:t>约</w:t>
      </w:r>
      <w:r>
        <w:rPr>
          <w:rFonts w:cs="Times New Roman" w:asciiTheme="minorEastAsia" w:hAnsiTheme="minorEastAsia" w:eastAsiaTheme="minorEastAsia"/>
          <w:color w:val="000000" w:themeColor="text1"/>
          <w:sz w:val="24"/>
          <w:szCs w:val="24"/>
          <w14:textFill>
            <w14:solidFill>
              <w14:schemeClr w14:val="tx1"/>
            </w14:solidFill>
          </w14:textFill>
        </w:rPr>
        <w:t>定全面履行义务，那么甲方有权从履约保证金中取得补偿或赔偿</w:t>
      </w:r>
      <w:r>
        <w:rPr>
          <w:rFonts w:hint="eastAsia" w:cs="Times New Roman" w:asciiTheme="minorEastAsia" w:hAnsiTheme="minorEastAsia" w:eastAsiaTheme="minorEastAsia"/>
          <w:color w:val="000000" w:themeColor="text1"/>
          <w:sz w:val="24"/>
          <w:szCs w:val="24"/>
          <w14:textFill>
            <w14:solidFill>
              <w14:schemeClr w14:val="tx1"/>
            </w14:solidFill>
          </w14:textFill>
        </w:rPr>
        <w:t>，同时不影响甲方要求乙方承担合同约定的超过履约保证金的违约责任的权利。</w:t>
      </w:r>
    </w:p>
    <w:bookmarkEnd w:id="205"/>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206" w:name="_Toc14001"/>
      <w:bookmarkStart w:id="207" w:name="_Toc6885"/>
      <w:bookmarkStart w:id="208" w:name="_Toc1989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合同份数</w:t>
      </w:r>
      <w:bookmarkEnd w:id="206"/>
      <w:bookmarkEnd w:id="207"/>
      <w:bookmarkEnd w:id="208"/>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合同份数按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规定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每份均具有同等法律效力</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bookmarkStart w:id="209" w:name="_Toc331685784"/>
      <w:bookmarkStart w:id="210" w:name="_Toc6553"/>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209"/>
      <w:bookmarkEnd w:id="21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本部分</w:t>
      </w:r>
      <w:r>
        <w:rPr>
          <w:rFonts w:cs="Times New Roman" w:asciiTheme="minorEastAsia" w:hAnsiTheme="minorEastAsia" w:eastAsiaTheme="minorEastAsia"/>
          <w:color w:val="000000" w:themeColor="text1"/>
          <w:sz w:val="24"/>
          <w:szCs w:val="24"/>
          <w14:textFill>
            <w14:solidFill>
              <w14:schemeClr w14:val="tx1"/>
            </w14:solidFill>
          </w14:textFill>
        </w:rPr>
        <w:t>是对</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部分的补充和修改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部分和本部分的约定不一致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应以本部分的约定为准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本部分的条款号应与</w:t>
      </w:r>
      <w:r>
        <w:rPr>
          <w:rFonts w:hint="eastAsia" w:cs="Times New Roman" w:asciiTheme="minorEastAsia" w:hAnsiTheme="minorEastAsia" w:eastAsiaTheme="minorEastAsia"/>
          <w:color w:val="000000" w:themeColor="text1"/>
          <w:sz w:val="24"/>
          <w:szCs w:val="24"/>
          <w14:textFill>
            <w14:solidFill>
              <w14:schemeClr w14:val="tx1"/>
            </w14:solidFill>
          </w14:textFill>
        </w:rPr>
        <w:t>前两部分</w:t>
      </w:r>
      <w:r>
        <w:rPr>
          <w:rFonts w:cs="Times New Roman" w:asciiTheme="minorEastAsia" w:hAnsiTheme="minorEastAsia" w:eastAsiaTheme="minorEastAsia"/>
          <w:color w:val="000000" w:themeColor="text1"/>
          <w:sz w:val="24"/>
          <w:szCs w:val="24"/>
          <w14:textFill>
            <w14:solidFill>
              <w14:schemeClr w14:val="tx1"/>
            </w14:solidFill>
          </w14:textFill>
        </w:rPr>
        <w:t>的条款号保持对应</w:t>
      </w:r>
      <w:r>
        <w:rPr>
          <w:rFonts w:hint="eastAsia" w:cs="Times New Roman" w:asciiTheme="minorEastAsia" w:hAnsiTheme="minorEastAsia" w:eastAsiaTheme="minorEastAsia"/>
          <w:color w:val="000000" w:themeColor="text1"/>
          <w:sz w:val="24"/>
          <w:szCs w:val="24"/>
          <w14:textFill>
            <w14:solidFill>
              <w14:schemeClr w14:val="tx1"/>
            </w14:solidFill>
          </w14:textFill>
        </w:rPr>
        <w:t>；与前两部分</w:t>
      </w:r>
      <w:r>
        <w:rPr>
          <w:rFonts w:cs="Times New Roman" w:asciiTheme="minorEastAsia" w:hAnsiTheme="minorEastAsia" w:eastAsiaTheme="minorEastAsia"/>
          <w:color w:val="000000" w:themeColor="text1"/>
          <w:sz w:val="24"/>
          <w:szCs w:val="24"/>
          <w14:textFill>
            <w14:solidFill>
              <w14:schemeClr w14:val="tx1"/>
            </w14:solidFill>
          </w14:textFill>
        </w:rPr>
        <w:t>无对应关系的内容可另行编制条款号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tbl>
      <w:tblPr>
        <w:tblStyle w:val="21"/>
        <w:tblW w:w="83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4" w:type="dxa"/>
            <w:tcBorders>
              <w:left w:val="single" w:color="auto" w:sz="4" w:space="0"/>
            </w:tcBorders>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条款号</w:t>
            </w:r>
          </w:p>
        </w:tc>
        <w:tc>
          <w:tcPr>
            <w:tcW w:w="7568" w:type="dxa"/>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bl>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211" w:name="_Toc22492"/>
      <w:r>
        <w:rPr>
          <w:rFonts w:hint="eastAsia" w:asciiTheme="minorEastAsia" w:hAnsiTheme="minorEastAsia" w:eastAsiaTheme="minorEastAsia"/>
          <w:b/>
          <w:color w:val="auto"/>
          <w:sz w:val="28"/>
          <w:highlight w:val="none"/>
        </w:rPr>
        <w:t>第六章  投标文件格式</w:t>
      </w:r>
      <w:bookmarkEnd w:id="21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12" w:name="_Toc651"/>
      <w:r>
        <w:rPr>
          <w:rFonts w:hint="eastAsia" w:asciiTheme="minorEastAsia" w:hAnsiTheme="minorEastAsia" w:eastAsiaTheme="minorEastAsia"/>
          <w:b/>
          <w:color w:val="auto"/>
          <w:sz w:val="72"/>
          <w:highlight w:val="none"/>
        </w:rPr>
        <w:t>投</w:t>
      </w:r>
      <w:bookmarkEnd w:id="21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13" w:name="_Toc6148"/>
      <w:r>
        <w:rPr>
          <w:rFonts w:hint="eastAsia" w:asciiTheme="minorEastAsia" w:hAnsiTheme="minorEastAsia" w:eastAsiaTheme="minorEastAsia"/>
          <w:b/>
          <w:color w:val="auto"/>
          <w:sz w:val="72"/>
          <w:highlight w:val="none"/>
        </w:rPr>
        <w:t>标</w:t>
      </w:r>
      <w:bookmarkEnd w:id="21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14" w:name="_Toc1338"/>
      <w:r>
        <w:rPr>
          <w:rFonts w:hint="eastAsia" w:asciiTheme="minorEastAsia" w:hAnsiTheme="minorEastAsia" w:eastAsiaTheme="minorEastAsia"/>
          <w:b/>
          <w:color w:val="auto"/>
          <w:sz w:val="72"/>
          <w:highlight w:val="none"/>
        </w:rPr>
        <w:t>文</w:t>
      </w:r>
      <w:bookmarkEnd w:id="214"/>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215" w:name="_Toc10796"/>
      <w:r>
        <w:rPr>
          <w:rFonts w:hint="eastAsia" w:asciiTheme="minorEastAsia" w:hAnsiTheme="minorEastAsia" w:eastAsiaTheme="minorEastAsia"/>
          <w:b/>
          <w:color w:val="auto"/>
          <w:sz w:val="72"/>
          <w:highlight w:val="none"/>
        </w:rPr>
        <w:t>件</w:t>
      </w:r>
      <w:bookmarkEnd w:id="215"/>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16" w:name="_Toc32506"/>
      <w:bookmarkStart w:id="217" w:name="_Toc21832"/>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16"/>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17"/>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18" w:name="_Toc8037"/>
      <w:bookmarkStart w:id="219" w:name="_Toc9994"/>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18"/>
      <w:bookmarkEnd w:id="219"/>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0" w:name="_Toc5555"/>
      <w:bookmarkStart w:id="221" w:name="_Toc28960"/>
      <w:r>
        <w:rPr>
          <w:rFonts w:hint="eastAsia" w:asciiTheme="minorEastAsia" w:hAnsiTheme="minorEastAsia" w:eastAsiaTheme="minorEastAsia"/>
          <w:b/>
          <w:color w:val="auto"/>
          <w:sz w:val="24"/>
          <w:highlight w:val="none"/>
        </w:rPr>
        <w:t>一、开标一览表</w:t>
      </w:r>
      <w:bookmarkEnd w:id="220"/>
      <w:bookmarkEnd w:id="221"/>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
                <w:color w:val="auto"/>
                <w:sz w:val="24"/>
                <w:highlight w:val="none"/>
              </w:rPr>
              <w:t>某项目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投标人电子签章：</w:t>
      </w:r>
      <w:r>
        <w:rPr>
          <w:rFonts w:asciiTheme="minorEastAsia" w:hAnsiTheme="minorEastAsia" w:eastAsiaTheme="minorEastAsia"/>
          <w:color w:val="auto"/>
          <w:sz w:val="24"/>
          <w:highlight w:val="none"/>
        </w:rPr>
        <w:t xml:space="preserve">                                           </w:t>
      </w:r>
    </w:p>
    <w:p>
      <w:pPr>
        <w:spacing w:line="360" w:lineRule="auto"/>
        <w:ind w:firstLine="360" w:firstLineChars="150"/>
        <w:rPr>
          <w:rFonts w:asciiTheme="minorEastAsia" w:hAnsiTheme="minorEastAsia" w:eastAsiaTheme="minorEastAsia"/>
          <w:color w:val="auto"/>
          <w:sz w:val="24"/>
          <w:highlight w:val="none"/>
        </w:rPr>
      </w:pP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2" w:name="_Toc6441"/>
      <w:bookmarkStart w:id="223" w:name="_Toc18010"/>
      <w:r>
        <w:rPr>
          <w:rFonts w:hint="eastAsia" w:asciiTheme="minorEastAsia" w:hAnsiTheme="minorEastAsia" w:eastAsiaTheme="minorEastAsia"/>
          <w:b/>
          <w:color w:val="auto"/>
          <w:sz w:val="24"/>
          <w:highlight w:val="none"/>
        </w:rPr>
        <w:t>二、投标函</w:t>
      </w:r>
      <w:bookmarkEnd w:id="222"/>
      <w:bookmarkEnd w:id="223"/>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24" w:name="_Toc1328"/>
      <w:r>
        <w:rPr>
          <w:rFonts w:hint="eastAsia" w:asciiTheme="minorEastAsia" w:hAnsiTheme="minorEastAsia" w:eastAsiaTheme="minorEastAsia"/>
          <w:b/>
          <w:color w:val="auto"/>
          <w:sz w:val="24"/>
          <w:highlight w:val="none"/>
          <w:lang w:val="en-US" w:eastAsia="zh-CN"/>
        </w:rPr>
        <w:t>三．投标人资格声明书</w:t>
      </w:r>
      <w:bookmarkEnd w:id="224"/>
      <w:r>
        <w:rPr>
          <w:rFonts w:hint="eastAsia" w:asciiTheme="minorEastAsia" w:hAnsiTheme="minorEastAsia" w:eastAsiaTheme="minorEastAsia"/>
          <w:b/>
          <w:color w:val="auto"/>
          <w:sz w:val="24"/>
          <w:highlight w:val="none"/>
          <w:lang w:val="en-US" w:eastAsia="zh-CN"/>
        </w:rPr>
        <w:t xml:space="preserve"> </w:t>
      </w:r>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bookmarkStart w:id="225"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6" w:name="_Toc16960"/>
      <w:r>
        <w:rPr>
          <w:rFonts w:hint="eastAsia" w:asciiTheme="minorEastAsia" w:hAnsiTheme="minorEastAsia" w:eastAsiaTheme="minorEastAsia"/>
          <w:b/>
          <w:color w:val="auto"/>
          <w:sz w:val="24"/>
          <w:highlight w:val="none"/>
        </w:rPr>
        <w:t>四、授权书</w:t>
      </w:r>
      <w:bookmarkEnd w:id="225"/>
      <w:bookmarkEnd w:id="226"/>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lang w:val="en-US" w:eastAsia="zh-CN"/>
        </w:rPr>
        <w:t xml:space="preserve">                            </w:t>
      </w: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pPr>
        <w:spacing w:line="360" w:lineRule="auto"/>
        <w:ind w:firstLine="435"/>
        <w:jc w:val="center"/>
        <w:rPr>
          <w:rFonts w:ascii="宋体" w:hAnsi="宋体" w:eastAsia="宋体"/>
          <w:color w:val="auto"/>
          <w:sz w:val="24"/>
          <w:szCs w:val="28"/>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7" w:name="_Toc6796"/>
      <w:bookmarkStart w:id="228" w:name="_Toc31991"/>
      <w:r>
        <w:rPr>
          <w:rFonts w:hint="eastAsia" w:asciiTheme="minorEastAsia" w:hAnsiTheme="minorEastAsia" w:eastAsiaTheme="minorEastAsia"/>
          <w:b/>
          <w:color w:val="auto"/>
          <w:sz w:val="24"/>
          <w:highlight w:val="none"/>
        </w:rPr>
        <w:t>五、投标分项报价表</w:t>
      </w:r>
      <w:bookmarkEnd w:id="227"/>
      <w:bookmarkEnd w:id="228"/>
    </w:p>
    <w:p>
      <w:pPr>
        <w:spacing w:line="360" w:lineRule="auto"/>
        <w:ind w:firstLine="435"/>
        <w:rPr>
          <w:rFonts w:asciiTheme="minorEastAsia" w:hAnsiTheme="minorEastAsia" w:eastAsiaTheme="minorEastAsia"/>
          <w:b/>
          <w:color w:val="auto"/>
          <w:sz w:val="24"/>
          <w:highlight w:val="none"/>
        </w:rPr>
      </w:pP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9"/>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7"/>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7"/>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7"/>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b w:val="0"/>
          <w:bCs/>
          <w:color w:val="auto"/>
          <w:sz w:val="24"/>
          <w:szCs w:val="28"/>
          <w:highlight w:val="none"/>
        </w:rPr>
      </w:pPr>
      <w:r>
        <w:rPr>
          <w:rFonts w:hint="eastAsia" w:asciiTheme="minorEastAsia" w:hAnsiTheme="minorEastAsia" w:eastAsiaTheme="minorEastAsia"/>
          <w:b w:val="0"/>
          <w:color w:val="auto"/>
          <w:sz w:val="24"/>
          <w:highlight w:val="none"/>
        </w:rPr>
        <w:t>投标人电子签章：</w:t>
      </w:r>
    </w:p>
    <w:p>
      <w:pPr>
        <w:adjustRightInd w:val="0"/>
        <w:snapToGrid w:val="0"/>
        <w:spacing w:line="360" w:lineRule="auto"/>
        <w:rPr>
          <w:rFonts w:asciiTheme="minorEastAsia" w:hAnsiTheme="minorEastAsia" w:eastAsiaTheme="minorEastAsia"/>
          <w:b/>
          <w:bCs/>
          <w:color w:val="auto"/>
          <w:sz w:val="24"/>
          <w:szCs w:val="28"/>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投标人承担全部责任。</w:t>
      </w:r>
    </w:p>
    <w:p>
      <w:pPr>
        <w:spacing w:line="360" w:lineRule="auto"/>
        <w:ind w:firstLine="435"/>
      </w:pPr>
      <w:r>
        <w:rPr>
          <w:rFonts w:hint="eastAsia" w:asciiTheme="minorEastAsia" w:hAnsiTheme="minorEastAsia" w:eastAsiaTheme="minorEastAsia"/>
          <w:color w:val="auto"/>
          <w:sz w:val="24"/>
          <w:highlight w:val="none"/>
        </w:rPr>
        <w:t>2.表中须明确列出所投产品的货物名称、品牌、型号规格、原产地及生产厂商，否则可能导致</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229" w:name="_Toc11940"/>
      <w:bookmarkStart w:id="230" w:name="_Toc20329"/>
      <w:r>
        <w:rPr>
          <w:rFonts w:hint="eastAsia" w:asciiTheme="minorEastAsia" w:hAnsiTheme="minorEastAsia" w:eastAsiaTheme="minorEastAsia"/>
          <w:b/>
          <w:color w:val="auto"/>
          <w:sz w:val="24"/>
          <w:highlight w:val="none"/>
        </w:rPr>
        <w:t>六、投标响应表</w:t>
      </w:r>
      <w:bookmarkEnd w:id="229"/>
      <w:bookmarkEnd w:id="230"/>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7"/>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招标文件规定的技术参数及要求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投标人电子签章：</w:t>
      </w: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31" w:name="_Toc11594"/>
      <w:bookmarkStart w:id="232" w:name="_Toc3100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31"/>
      <w:bookmarkEnd w:id="232"/>
    </w:p>
    <w:p>
      <w:pPr>
        <w:pStyle w:val="1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3" w:name="_Toc11380"/>
      <w:r>
        <w:rPr>
          <w:rFonts w:hint="eastAsia" w:asciiTheme="minorEastAsia" w:hAnsiTheme="minorEastAsia" w:eastAsiaTheme="minorEastAsia"/>
          <w:b/>
          <w:color w:val="auto"/>
          <w:sz w:val="24"/>
          <w:highlight w:val="none"/>
          <w:lang w:val="en-US" w:eastAsia="zh-CN"/>
        </w:rPr>
        <w:t>八．拟分包情况说明及分包意向协议</w:t>
      </w:r>
      <w:bookmarkEnd w:id="233"/>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5"/>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6"/>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6"/>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6"/>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jc w:val="both"/>
              <w:rPr>
                <w:rFonts w:hint="eastAsia" w:ascii="宋体" w:hAnsi="宋体" w:eastAsia="宋体" w:cs="宋体"/>
              </w:rPr>
            </w:pP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4" w:name="_Toc31244"/>
      <w:bookmarkStart w:id="235" w:name="_Toc9573"/>
      <w:bookmarkStart w:id="236" w:name="OLE_LINK14"/>
      <w:bookmarkStart w:id="237" w:name="OLE_LINK13"/>
      <w:r>
        <w:rPr>
          <w:rFonts w:hint="eastAsia" w:asciiTheme="minorEastAsia" w:hAnsiTheme="minorEastAsia" w:eastAsiaTheme="minorEastAsia"/>
          <w:b/>
          <w:color w:val="auto"/>
          <w:sz w:val="24"/>
          <w:highlight w:val="none"/>
          <w:lang w:val="en-US" w:eastAsia="zh-CN"/>
        </w:rPr>
        <w:t>九、中小企业声明函</w:t>
      </w:r>
      <w:bookmarkEnd w:id="234"/>
      <w:bookmarkEnd w:id="235"/>
    </w:p>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非中小企业投标</w:t>
      </w:r>
      <w:r>
        <w:rPr>
          <w:rFonts w:hint="eastAsia" w:ascii="宋体" w:hAnsi="宋体" w:eastAsia="宋体"/>
          <w:b w:val="0"/>
          <w:i/>
          <w:color w:val="FF0000"/>
          <w:sz w:val="24"/>
          <w:highlight w:val="none"/>
          <w:lang w:val="en-US" w:eastAsia="zh-CN"/>
        </w:rPr>
        <w:t>，不需此件，请删去“中小企业声明函”；</w:t>
      </w:r>
      <w:r>
        <w:rPr>
          <w:rFonts w:hint="eastAsia" w:ascii="宋体" w:hAnsi="宋体" w:eastAsia="宋体"/>
          <w:b w:val="0"/>
          <w:i/>
          <w:color w:val="FF0000"/>
          <w:sz w:val="24"/>
          <w:highlight w:val="none"/>
          <w:lang w:val="zh-CN" w:eastAsia="zh-CN"/>
        </w:rPr>
        <w:t>中小企业投标</w:t>
      </w:r>
      <w:r>
        <w:rPr>
          <w:rFonts w:hint="eastAsia" w:ascii="宋体" w:hAnsi="宋体" w:eastAsia="宋体"/>
          <w:b w:val="0"/>
          <w:i/>
          <w:color w:val="FF0000"/>
          <w:sz w:val="24"/>
          <w:highlight w:val="none"/>
          <w:lang w:val="en-US" w:eastAsia="zh-CN"/>
        </w:rPr>
        <w:t>，请删去本提示内容）</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rPr>
          <w:rFonts w:hint="eastAsia" w:asciiTheme="minorEastAsia" w:hAnsiTheme="minorEastAsia" w:eastAsiaTheme="minorEastAsia"/>
          <w:b/>
          <w:bCs/>
          <w:color w:val="auto"/>
          <w:szCs w:val="24"/>
          <w:highlight w:val="none"/>
        </w:rPr>
      </w:pPr>
      <w:r>
        <w:rPr>
          <w:rFonts w:hint="eastAsia" w:asciiTheme="minorEastAsia" w:hAnsiTheme="minorEastAsia" w:eastAsiaTheme="minorEastAsia"/>
          <w:b/>
          <w:bCs/>
          <w:color w:val="auto"/>
          <w:szCs w:val="24"/>
          <w:highlight w:val="none"/>
        </w:rPr>
        <w:br w:type="page"/>
      </w:r>
      <w:bookmarkEnd w:id="236"/>
      <w:bookmarkEnd w:id="237"/>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8" w:name="_Toc24563"/>
      <w:bookmarkStart w:id="239" w:name="_Toc16713"/>
      <w:r>
        <w:rPr>
          <w:rFonts w:hint="eastAsia" w:asciiTheme="minorEastAsia" w:hAnsiTheme="minorEastAsia" w:eastAsiaTheme="minorEastAsia"/>
          <w:b/>
          <w:color w:val="auto"/>
          <w:sz w:val="24"/>
          <w:highlight w:val="none"/>
          <w:lang w:val="en-US" w:eastAsia="zh-CN"/>
        </w:rPr>
        <w:t>十、残疾人福利性单位声明函</w:t>
      </w:r>
      <w:bookmarkEnd w:id="238"/>
      <w:bookmarkEnd w:id="239"/>
    </w:p>
    <w:p>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b w:val="0"/>
          <w:i/>
          <w:color w:val="FF0000"/>
          <w:sz w:val="24"/>
          <w:highlight w:val="none"/>
          <w:lang w:val="en-US" w:eastAsia="zh-CN"/>
        </w:rPr>
      </w:pPr>
      <w:r>
        <w:rPr>
          <w:rFonts w:hint="eastAsia" w:ascii="宋体" w:hAnsi="宋体" w:eastAsia="宋体"/>
          <w:b w:val="0"/>
          <w:i/>
          <w:color w:val="FF0000"/>
          <w:sz w:val="24"/>
          <w:highlight w:val="none"/>
          <w:lang w:val="en-US" w:eastAsia="zh-CN"/>
        </w:rPr>
        <w:t>（请完整填写声明函内容，否则不予认可；非残疾人福利性单位投标，请删去“残疾人福利性单位声明函”；残疾人福利性单位</w:t>
      </w:r>
      <w:r>
        <w:rPr>
          <w:rFonts w:hint="eastAsia" w:ascii="宋体" w:hAnsi="宋体" w:eastAsia="宋体"/>
          <w:b w:val="0"/>
          <w:i/>
          <w:color w:val="FF0000"/>
          <w:sz w:val="24"/>
          <w:highlight w:val="none"/>
          <w:lang w:val="zh-CN" w:eastAsia="zh-CN"/>
        </w:rPr>
        <w:t>投标</w:t>
      </w:r>
      <w:r>
        <w:rPr>
          <w:rFonts w:hint="eastAsia" w:ascii="宋体" w:hAnsi="宋体" w:eastAsia="宋体"/>
          <w:b w:val="0"/>
          <w:i/>
          <w:color w:val="FF0000"/>
          <w:sz w:val="24"/>
          <w:highlight w:val="none"/>
          <w:lang w:val="en-US" w:eastAsia="zh-CN"/>
        </w:rPr>
        <w:t>，请删去本提示内容）</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40" w:name="_Toc457768004"/>
      <w:bookmarkStart w:id="241" w:name="_Toc520299348"/>
      <w:bookmarkStart w:id="242" w:name="_Toc300210382"/>
      <w:bookmarkStart w:id="243" w:name="_Toc25813"/>
      <w:bookmarkStart w:id="244" w:name="_Toc26536"/>
      <w:bookmarkStart w:id="245" w:name="_Hlk11701496"/>
      <w:r>
        <w:rPr>
          <w:rFonts w:hint="eastAsia" w:asciiTheme="minorEastAsia" w:hAnsiTheme="minorEastAsia" w:eastAsiaTheme="minorEastAsia"/>
          <w:b/>
          <w:color w:val="auto"/>
          <w:sz w:val="24"/>
          <w:highlight w:val="none"/>
          <w:lang w:val="en-US" w:eastAsia="zh-CN"/>
        </w:rPr>
        <w:t>十一、</w:t>
      </w:r>
      <w:bookmarkEnd w:id="240"/>
      <w:bookmarkEnd w:id="241"/>
      <w:bookmarkEnd w:id="242"/>
      <w:r>
        <w:rPr>
          <w:rFonts w:hint="eastAsia" w:asciiTheme="minorEastAsia" w:hAnsiTheme="minorEastAsia" w:eastAsiaTheme="minorEastAsia"/>
          <w:b/>
          <w:color w:val="auto"/>
          <w:sz w:val="24"/>
          <w:highlight w:val="none"/>
          <w:lang w:val="en-US" w:eastAsia="zh-CN"/>
        </w:rPr>
        <w:t>诚信履约承诺函</w:t>
      </w:r>
      <w:bookmarkEnd w:id="243"/>
      <w:bookmarkEnd w:id="244"/>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245"/>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46" w:name="_Toc32633"/>
      <w:bookmarkStart w:id="247" w:name="_Toc2683"/>
      <w:r>
        <w:rPr>
          <w:rFonts w:hint="eastAsia" w:asciiTheme="minorEastAsia" w:hAnsiTheme="minorEastAsia" w:eastAsiaTheme="minorEastAsia"/>
          <w:b/>
          <w:color w:val="auto"/>
          <w:sz w:val="24"/>
          <w:highlight w:val="none"/>
          <w:lang w:val="en-US" w:eastAsia="zh-CN"/>
        </w:rPr>
        <w:t>十二、其他相关证明材料</w:t>
      </w:r>
      <w:bookmarkEnd w:id="246"/>
      <w:bookmarkEnd w:id="24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48" w:name="_Toc18131"/>
      <w:bookmarkStart w:id="249" w:name="_Toc6435"/>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48"/>
      <w:bookmarkEnd w:id="249"/>
    </w:p>
    <w:p>
      <w:pPr>
        <w:spacing w:line="360" w:lineRule="auto"/>
        <w:jc w:val="center"/>
        <w:outlineLvl w:val="1"/>
        <w:rPr>
          <w:rFonts w:ascii="仿宋" w:hAnsi="仿宋" w:eastAsia="仿宋" w:cs="仿宋"/>
          <w:b/>
          <w:bCs/>
          <w:color w:val="auto"/>
          <w:sz w:val="32"/>
          <w:szCs w:val="44"/>
          <w:highlight w:val="none"/>
        </w:rPr>
      </w:pPr>
      <w:bookmarkStart w:id="250" w:name="_Toc27159"/>
      <w:bookmarkStart w:id="251" w:name="_Toc27489"/>
      <w:r>
        <w:rPr>
          <w:rFonts w:hint="eastAsia" w:ascii="仿宋" w:hAnsi="仿宋" w:eastAsia="仿宋" w:cs="仿宋"/>
          <w:b/>
          <w:bCs/>
          <w:color w:val="auto"/>
          <w:sz w:val="32"/>
          <w:szCs w:val="44"/>
          <w:highlight w:val="none"/>
        </w:rPr>
        <w:t>询问函范本</w:t>
      </w:r>
      <w:bookmarkEnd w:id="250"/>
      <w:bookmarkEnd w:id="251"/>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52" w:name="_Toc13899"/>
      <w:r>
        <w:rPr>
          <w:rFonts w:hint="eastAsia" w:cs="仿宋" w:asciiTheme="minorEastAsia" w:hAnsiTheme="minorEastAsia" w:eastAsiaTheme="minorEastAsia"/>
          <w:color w:val="auto"/>
          <w:sz w:val="24"/>
          <w:szCs w:val="24"/>
          <w:highlight w:val="none"/>
        </w:rPr>
        <w:t>一、(事项一)</w:t>
      </w:r>
      <w:bookmarkEnd w:id="25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53" w:name="_Toc3352"/>
      <w:r>
        <w:rPr>
          <w:rFonts w:hint="eastAsia" w:cs="仿宋" w:asciiTheme="minorEastAsia" w:hAnsiTheme="minorEastAsia" w:eastAsiaTheme="minorEastAsia"/>
          <w:color w:val="auto"/>
          <w:sz w:val="24"/>
          <w:szCs w:val="24"/>
          <w:highlight w:val="none"/>
        </w:rPr>
        <w:t>二、(事项二)</w:t>
      </w:r>
      <w:bookmarkEnd w:id="253"/>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54" w:name="_Toc1575"/>
      <w:bookmarkStart w:id="255" w:name="_Toc3245"/>
      <w:r>
        <w:rPr>
          <w:rFonts w:hint="eastAsia" w:ascii="仿宋" w:hAnsi="仿宋" w:eastAsia="仿宋" w:cs="仿宋"/>
          <w:b/>
          <w:bCs/>
          <w:color w:val="auto"/>
          <w:sz w:val="32"/>
          <w:szCs w:val="44"/>
          <w:highlight w:val="none"/>
        </w:rPr>
        <w:t>质疑函范本</w:t>
      </w:r>
      <w:bookmarkEnd w:id="254"/>
      <w:bookmarkEnd w:id="255"/>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256" w:name="_Toc21381"/>
      <w:r>
        <w:rPr>
          <w:rFonts w:hint="eastAsia" w:cs="仿宋" w:asciiTheme="minorEastAsia" w:hAnsiTheme="minorEastAsia" w:eastAsiaTheme="minorEastAsia"/>
          <w:b/>
          <w:bCs/>
          <w:color w:val="auto"/>
          <w:sz w:val="24"/>
          <w:szCs w:val="24"/>
          <w:highlight w:val="none"/>
        </w:rPr>
        <w:t>一、质疑供应商基本信息</w:t>
      </w:r>
      <w:bookmarkEnd w:id="25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57" w:name="_Toc28415"/>
      <w:r>
        <w:rPr>
          <w:rFonts w:hint="eastAsia" w:cs="仿宋" w:asciiTheme="minorEastAsia" w:hAnsiTheme="minorEastAsia" w:eastAsiaTheme="minorEastAsia"/>
          <w:b/>
          <w:bCs/>
          <w:color w:val="auto"/>
          <w:sz w:val="24"/>
          <w:szCs w:val="24"/>
          <w:highlight w:val="none"/>
        </w:rPr>
        <w:t>二、质疑项目基本情况</w:t>
      </w:r>
      <w:bookmarkEnd w:id="257"/>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58" w:name="_Toc19014"/>
      <w:r>
        <w:rPr>
          <w:rFonts w:hint="eastAsia" w:cs="仿宋" w:asciiTheme="minorEastAsia" w:hAnsiTheme="minorEastAsia" w:eastAsiaTheme="minorEastAsia"/>
          <w:b/>
          <w:bCs/>
          <w:color w:val="auto"/>
          <w:sz w:val="24"/>
          <w:szCs w:val="24"/>
          <w:highlight w:val="none"/>
        </w:rPr>
        <w:t>三、质疑事项具体内容</w:t>
      </w:r>
      <w:bookmarkEnd w:id="25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59" w:name="_Toc17919"/>
      <w:r>
        <w:rPr>
          <w:rFonts w:hint="eastAsia" w:cs="仿宋" w:asciiTheme="minorEastAsia" w:hAnsiTheme="minorEastAsia" w:eastAsiaTheme="minorEastAsia"/>
          <w:b/>
          <w:bCs/>
          <w:color w:val="auto"/>
          <w:sz w:val="24"/>
          <w:szCs w:val="24"/>
          <w:highlight w:val="none"/>
        </w:rPr>
        <w:t>四、与质疑事项相关的质疑请求</w:t>
      </w:r>
      <w:bookmarkEnd w:id="25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60" w:name="_Toc26836"/>
      <w:bookmarkStart w:id="261" w:name="_Toc9754"/>
      <w:r>
        <w:rPr>
          <w:rFonts w:hint="eastAsia" w:asciiTheme="minorEastAsia" w:hAnsiTheme="minorEastAsia" w:eastAsiaTheme="minorEastAsia"/>
          <w:b/>
          <w:color w:val="auto"/>
          <w:sz w:val="28"/>
          <w:szCs w:val="32"/>
          <w:highlight w:val="none"/>
        </w:rPr>
        <w:t>质疑函制作说明：</w:t>
      </w:r>
      <w:bookmarkEnd w:id="260"/>
      <w:bookmarkEnd w:id="261"/>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
    <w:panose1 w:val="02010600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17B1BF9"/>
    <w:rsid w:val="01E93A1B"/>
    <w:rsid w:val="0214602E"/>
    <w:rsid w:val="03486B27"/>
    <w:rsid w:val="040A094E"/>
    <w:rsid w:val="056F201D"/>
    <w:rsid w:val="05B664D4"/>
    <w:rsid w:val="068C65C4"/>
    <w:rsid w:val="07076C01"/>
    <w:rsid w:val="071C12AC"/>
    <w:rsid w:val="07A934B3"/>
    <w:rsid w:val="07EB6287"/>
    <w:rsid w:val="0980799C"/>
    <w:rsid w:val="09944B8E"/>
    <w:rsid w:val="0A6A18DB"/>
    <w:rsid w:val="0A975B48"/>
    <w:rsid w:val="0AEF3828"/>
    <w:rsid w:val="0B406381"/>
    <w:rsid w:val="0BB452AA"/>
    <w:rsid w:val="0BBB665B"/>
    <w:rsid w:val="0EEA6FC1"/>
    <w:rsid w:val="10CD72BB"/>
    <w:rsid w:val="12197477"/>
    <w:rsid w:val="13776448"/>
    <w:rsid w:val="1466407E"/>
    <w:rsid w:val="14834E28"/>
    <w:rsid w:val="148E7D65"/>
    <w:rsid w:val="15231BF9"/>
    <w:rsid w:val="1A064976"/>
    <w:rsid w:val="1A3B68AA"/>
    <w:rsid w:val="1A3E1C1E"/>
    <w:rsid w:val="1B6F4F40"/>
    <w:rsid w:val="1C141836"/>
    <w:rsid w:val="1C76537D"/>
    <w:rsid w:val="1E6B6A14"/>
    <w:rsid w:val="20550D9A"/>
    <w:rsid w:val="218E2416"/>
    <w:rsid w:val="226915FE"/>
    <w:rsid w:val="241804A5"/>
    <w:rsid w:val="24B97929"/>
    <w:rsid w:val="27D65DBA"/>
    <w:rsid w:val="285F40CA"/>
    <w:rsid w:val="289E1AF0"/>
    <w:rsid w:val="28C01ECB"/>
    <w:rsid w:val="29BF71E3"/>
    <w:rsid w:val="29D6387F"/>
    <w:rsid w:val="2A127B63"/>
    <w:rsid w:val="2AAA4765"/>
    <w:rsid w:val="2AC21606"/>
    <w:rsid w:val="2B7E7608"/>
    <w:rsid w:val="2B7F04E9"/>
    <w:rsid w:val="2B8B554A"/>
    <w:rsid w:val="2D496D68"/>
    <w:rsid w:val="2E7A48DE"/>
    <w:rsid w:val="2EBA5177"/>
    <w:rsid w:val="2EDC3ED8"/>
    <w:rsid w:val="2F6351B4"/>
    <w:rsid w:val="2FC86126"/>
    <w:rsid w:val="2FCF199E"/>
    <w:rsid w:val="30483E83"/>
    <w:rsid w:val="3111619A"/>
    <w:rsid w:val="31B139DC"/>
    <w:rsid w:val="32497AF3"/>
    <w:rsid w:val="343C0775"/>
    <w:rsid w:val="356C50EC"/>
    <w:rsid w:val="36376E0A"/>
    <w:rsid w:val="3700166C"/>
    <w:rsid w:val="38694EE9"/>
    <w:rsid w:val="3A6818FA"/>
    <w:rsid w:val="3B365CC9"/>
    <w:rsid w:val="3B9A7B88"/>
    <w:rsid w:val="3D2C7AC8"/>
    <w:rsid w:val="3D855D12"/>
    <w:rsid w:val="3D8B42FF"/>
    <w:rsid w:val="3DF36A6E"/>
    <w:rsid w:val="3EBA1EE9"/>
    <w:rsid w:val="3F792F1E"/>
    <w:rsid w:val="40824826"/>
    <w:rsid w:val="40E63923"/>
    <w:rsid w:val="43A91E5B"/>
    <w:rsid w:val="449E0D39"/>
    <w:rsid w:val="463A3650"/>
    <w:rsid w:val="469F0116"/>
    <w:rsid w:val="475259B7"/>
    <w:rsid w:val="488302AE"/>
    <w:rsid w:val="48831CF9"/>
    <w:rsid w:val="49B1408D"/>
    <w:rsid w:val="4A7D4FD2"/>
    <w:rsid w:val="4A913C9A"/>
    <w:rsid w:val="4B1F70AC"/>
    <w:rsid w:val="4B240F94"/>
    <w:rsid w:val="4C0832E5"/>
    <w:rsid w:val="4C3C565C"/>
    <w:rsid w:val="4CCC79C7"/>
    <w:rsid w:val="4D7555C7"/>
    <w:rsid w:val="4EAE6DA0"/>
    <w:rsid w:val="5016514B"/>
    <w:rsid w:val="50BD4DF3"/>
    <w:rsid w:val="50FC1A26"/>
    <w:rsid w:val="51723664"/>
    <w:rsid w:val="51CB1C78"/>
    <w:rsid w:val="51FD6A51"/>
    <w:rsid w:val="526B680A"/>
    <w:rsid w:val="52836F71"/>
    <w:rsid w:val="541A5D30"/>
    <w:rsid w:val="55C1559C"/>
    <w:rsid w:val="55F068CD"/>
    <w:rsid w:val="566C3136"/>
    <w:rsid w:val="568D04F2"/>
    <w:rsid w:val="5A526582"/>
    <w:rsid w:val="5A5F5C77"/>
    <w:rsid w:val="5A711A0D"/>
    <w:rsid w:val="5B1613E4"/>
    <w:rsid w:val="5BC11A60"/>
    <w:rsid w:val="5C7A4D54"/>
    <w:rsid w:val="5CD23B73"/>
    <w:rsid w:val="5F127819"/>
    <w:rsid w:val="60B72AEE"/>
    <w:rsid w:val="61025188"/>
    <w:rsid w:val="61057D5F"/>
    <w:rsid w:val="614D4977"/>
    <w:rsid w:val="63C60FC0"/>
    <w:rsid w:val="64BA3D7A"/>
    <w:rsid w:val="64F179BC"/>
    <w:rsid w:val="665704D3"/>
    <w:rsid w:val="67C065A4"/>
    <w:rsid w:val="67D359C9"/>
    <w:rsid w:val="68FE36DD"/>
    <w:rsid w:val="694E60FC"/>
    <w:rsid w:val="6A256904"/>
    <w:rsid w:val="6B656832"/>
    <w:rsid w:val="6C675CE6"/>
    <w:rsid w:val="6D4F4321"/>
    <w:rsid w:val="6DFF7360"/>
    <w:rsid w:val="6E7A5F73"/>
    <w:rsid w:val="6EE90F9D"/>
    <w:rsid w:val="6FD74228"/>
    <w:rsid w:val="7021106F"/>
    <w:rsid w:val="71633091"/>
    <w:rsid w:val="73081CA5"/>
    <w:rsid w:val="74201F7D"/>
    <w:rsid w:val="7487762D"/>
    <w:rsid w:val="75385498"/>
    <w:rsid w:val="76BC207F"/>
    <w:rsid w:val="76EB4904"/>
    <w:rsid w:val="77645DCD"/>
    <w:rsid w:val="777378F5"/>
    <w:rsid w:val="777A2D3C"/>
    <w:rsid w:val="79074B81"/>
    <w:rsid w:val="794F0939"/>
    <w:rsid w:val="79AF0FCA"/>
    <w:rsid w:val="7AF9279C"/>
    <w:rsid w:val="7CC51958"/>
    <w:rsid w:val="7E2936C3"/>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qFormat/>
    <w:uiPriority w:val="0"/>
    <w:pPr>
      <w:keepNext/>
      <w:keepLines/>
      <w:spacing w:before="280" w:after="290" w:line="376" w:lineRule="auto"/>
      <w:outlineLvl w:val="3"/>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qFormat/>
    <w:uiPriority w:val="0"/>
    <w:pPr>
      <w:jc w:val="left"/>
    </w:pPr>
    <w:rPr>
      <w:rFonts w:ascii="Arial" w:hAnsi="Arial" w:eastAsia="黑体" w:cs="Arial"/>
    </w:rPr>
  </w:style>
  <w:style w:type="paragraph" w:styleId="9">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3"/>
    <w:qFormat/>
    <w:uiPriority w:val="99"/>
    <w:rPr>
      <w:rFonts w:ascii="宋体" w:hAnsi="Courier New" w:eastAsiaTheme="minorEastAsia" w:cstheme="minorBidi"/>
      <w:szCs w:val="22"/>
    </w:rPr>
  </w:style>
  <w:style w:type="paragraph" w:styleId="11">
    <w:name w:val="Date"/>
    <w:basedOn w:val="1"/>
    <w:next w:val="1"/>
    <w:link w:val="40"/>
    <w:qFormat/>
    <w:uiPriority w:val="0"/>
    <w:rPr>
      <w:rFonts w:ascii="Arial" w:hAnsi="Arial" w:eastAsia="宋体" w:cs="Arial"/>
      <w:b/>
      <w:sz w:val="28"/>
    </w:rPr>
  </w:style>
  <w:style w:type="paragraph" w:styleId="12">
    <w:name w:val="Balloon Text"/>
    <w:basedOn w:val="1"/>
    <w:link w:val="27"/>
    <w:semiHidden/>
    <w:unhideWhenUsed/>
    <w:qFormat/>
    <w:uiPriority w:val="99"/>
    <w:rPr>
      <w:sz w:val="18"/>
      <w:szCs w:val="18"/>
    </w:rPr>
  </w:style>
  <w:style w:type="paragraph" w:styleId="13">
    <w:name w:val="footer"/>
    <w:basedOn w:val="1"/>
    <w:link w:val="32"/>
    <w:unhideWhenUsed/>
    <w:qFormat/>
    <w:uiPriority w:val="99"/>
    <w:pPr>
      <w:tabs>
        <w:tab w:val="center" w:pos="4153"/>
        <w:tab w:val="right" w:pos="8306"/>
      </w:tabs>
      <w:snapToGrid w:val="0"/>
      <w:jc w:val="left"/>
    </w:pPr>
    <w:rPr>
      <w:sz w:val="18"/>
      <w:szCs w:val="18"/>
    </w:rPr>
  </w:style>
  <w:style w:type="paragraph" w:styleId="14">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index 1"/>
    <w:basedOn w:val="1"/>
    <w:next w:val="1"/>
    <w:qFormat/>
    <w:uiPriority w:val="0"/>
    <w:pPr>
      <w:jc w:val="center"/>
    </w:pPr>
    <w:rPr>
      <w:rFonts w:ascii="Arial" w:hAnsi="Arial" w:eastAsia="Arial" w:cs="Arial"/>
      <w:b/>
      <w:bCs/>
      <w:sz w:val="28"/>
    </w:rPr>
  </w:style>
  <w:style w:type="paragraph" w:styleId="19">
    <w:name w:val="annotation subject"/>
    <w:basedOn w:val="8"/>
    <w:next w:val="8"/>
    <w:link w:val="54"/>
    <w:semiHidden/>
    <w:unhideWhenUsed/>
    <w:qFormat/>
    <w:uiPriority w:val="99"/>
    <w:rPr>
      <w:rFonts w:ascii="@仿宋_GB2312" w:hAnsi="@仿宋_GB2312" w:eastAsia="@仿宋_GB2312" w:cs="@仿宋_GB2312"/>
      <w:b/>
      <w:bCs/>
    </w:rPr>
  </w:style>
  <w:style w:type="paragraph" w:styleId="20">
    <w:name w:val="Body Text First Indent"/>
    <w:basedOn w:val="2"/>
    <w:unhideWhenUsed/>
    <w:qFormat/>
    <w:uiPriority w:val="99"/>
    <w:pPr>
      <w:ind w:firstLine="420" w:firstLineChars="100"/>
    </w:pPr>
  </w:style>
  <w:style w:type="table" w:styleId="22">
    <w:name w:val="Table Grid"/>
    <w:basedOn w:val="2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styleId="26">
    <w:name w:val="annotation reference"/>
    <w:basedOn w:val="23"/>
    <w:semiHidden/>
    <w:unhideWhenUsed/>
    <w:qFormat/>
    <w:uiPriority w:val="99"/>
    <w:rPr>
      <w:sz w:val="21"/>
      <w:szCs w:val="21"/>
    </w:rPr>
  </w:style>
  <w:style w:type="character" w:customStyle="1" w:styleId="27">
    <w:name w:val="批注框文本 Char"/>
    <w:basedOn w:val="23"/>
    <w:link w:val="12"/>
    <w:semiHidden/>
    <w:qFormat/>
    <w:uiPriority w:val="99"/>
    <w:rPr>
      <w:rFonts w:ascii="@仿宋_GB2312" w:hAnsi="@仿宋_GB2312" w:eastAsia="@仿宋_GB2312" w:cs="@仿宋_GB2312"/>
      <w:sz w:val="18"/>
      <w:szCs w:val="18"/>
    </w:rPr>
  </w:style>
  <w:style w:type="paragraph" w:customStyle="1" w:styleId="28">
    <w:name w:val="正文（缩进）"/>
    <w:basedOn w:val="1"/>
    <w:qFormat/>
    <w:uiPriority w:val="0"/>
    <w:pPr>
      <w:widowControl/>
      <w:spacing w:before="156" w:after="156"/>
      <w:ind w:firstLine="480" w:firstLineChars="200"/>
      <w:jc w:val="left"/>
    </w:pPr>
    <w:rPr>
      <w:kern w:val="0"/>
      <w:sz w:val="24"/>
      <w:szCs w:val="24"/>
    </w:rPr>
  </w:style>
  <w:style w:type="paragraph" w:customStyle="1" w:styleId="29">
    <w:name w:val="xl31"/>
    <w:basedOn w:val="1"/>
    <w:qFormat/>
    <w:uiPriority w:val="0"/>
    <w:pPr>
      <w:widowControl/>
      <w:spacing w:before="100" w:beforeAutospacing="1" w:after="100" w:afterAutospacing="1"/>
      <w:jc w:val="center"/>
    </w:pPr>
    <w:rPr>
      <w:b/>
      <w:bCs/>
      <w:kern w:val="0"/>
      <w:sz w:val="28"/>
      <w:szCs w:val="28"/>
    </w:rPr>
  </w:style>
  <w:style w:type="paragraph" w:customStyle="1" w:styleId="30">
    <w:name w:val="D&amp;L"/>
    <w:basedOn w:val="14"/>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1">
    <w:name w:val="页眉 Char"/>
    <w:basedOn w:val="23"/>
    <w:link w:val="14"/>
    <w:qFormat/>
    <w:uiPriority w:val="99"/>
    <w:rPr>
      <w:rFonts w:ascii="@仿宋_GB2312" w:hAnsi="@仿宋_GB2312" w:eastAsia="@仿宋_GB2312" w:cs="@仿宋_GB2312"/>
      <w:sz w:val="18"/>
      <w:szCs w:val="18"/>
    </w:rPr>
  </w:style>
  <w:style w:type="character" w:customStyle="1" w:styleId="32">
    <w:name w:val="页脚 Char"/>
    <w:basedOn w:val="23"/>
    <w:link w:val="13"/>
    <w:qFormat/>
    <w:uiPriority w:val="99"/>
    <w:rPr>
      <w:rFonts w:ascii="@仿宋_GB2312" w:hAnsi="@仿宋_GB2312" w:eastAsia="@仿宋_GB2312" w:cs="@仿宋_GB2312"/>
      <w:sz w:val="18"/>
      <w:szCs w:val="18"/>
    </w:rPr>
  </w:style>
  <w:style w:type="character" w:customStyle="1" w:styleId="33">
    <w:name w:val="纯文本 Char"/>
    <w:link w:val="10"/>
    <w:qFormat/>
    <w:uiPriority w:val="0"/>
    <w:rPr>
      <w:rFonts w:ascii="宋体" w:hAnsi="Courier New"/>
    </w:rPr>
  </w:style>
  <w:style w:type="character" w:customStyle="1" w:styleId="34">
    <w:name w:val="纯文本 字符1"/>
    <w:basedOn w:val="23"/>
    <w:semiHidden/>
    <w:qFormat/>
    <w:uiPriority w:val="99"/>
    <w:rPr>
      <w:rFonts w:hAnsi="Courier New" w:cs="Courier New" w:asciiTheme="minorEastAsia"/>
      <w:szCs w:val="20"/>
    </w:rPr>
  </w:style>
  <w:style w:type="character" w:customStyle="1" w:styleId="35">
    <w:name w:val="未处理的提及1"/>
    <w:basedOn w:val="23"/>
    <w:semiHidden/>
    <w:unhideWhenUsed/>
    <w:qFormat/>
    <w:uiPriority w:val="99"/>
    <w:rPr>
      <w:color w:val="605E5C"/>
      <w:shd w:val="clear" w:color="auto" w:fill="E1DFDD"/>
    </w:rPr>
  </w:style>
  <w:style w:type="paragraph" w:styleId="36">
    <w:name w:val="List Paragraph"/>
    <w:basedOn w:val="1"/>
    <w:qFormat/>
    <w:uiPriority w:val="34"/>
    <w:pPr>
      <w:ind w:firstLine="420" w:firstLineChars="200"/>
    </w:pPr>
  </w:style>
  <w:style w:type="paragraph" w:customStyle="1" w:styleId="37">
    <w:name w:val="Char Char Char Char Char Char Char1 Char"/>
    <w:basedOn w:val="1"/>
    <w:qFormat/>
    <w:uiPriority w:val="0"/>
    <w:rPr>
      <w:rFonts w:ascii="Arial" w:hAnsi="Arial" w:eastAsia="宋体" w:cs="Arial"/>
      <w:sz w:val="24"/>
    </w:rPr>
  </w:style>
  <w:style w:type="table" w:customStyle="1" w:styleId="38">
    <w:name w:val="网格表 1 浅色1"/>
    <w:basedOn w:val="2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9">
    <w:name w:val="日期 字符"/>
    <w:basedOn w:val="23"/>
    <w:semiHidden/>
    <w:qFormat/>
    <w:uiPriority w:val="99"/>
    <w:rPr>
      <w:rFonts w:ascii="@仿宋_GB2312" w:hAnsi="@仿宋_GB2312" w:eastAsia="@仿宋_GB2312" w:cs="@仿宋_GB2312"/>
      <w:szCs w:val="20"/>
    </w:rPr>
  </w:style>
  <w:style w:type="character" w:customStyle="1" w:styleId="40">
    <w:name w:val="日期 Char"/>
    <w:link w:val="11"/>
    <w:qFormat/>
    <w:uiPriority w:val="0"/>
    <w:rPr>
      <w:rFonts w:ascii="Arial" w:hAnsi="Arial" w:eastAsia="宋体" w:cs="Arial"/>
      <w:b/>
      <w:sz w:val="28"/>
      <w:szCs w:val="20"/>
    </w:rPr>
  </w:style>
  <w:style w:type="character" w:customStyle="1" w:styleId="41">
    <w:name w:val="纯文本 Char1"/>
    <w:qFormat/>
    <w:locked/>
    <w:uiPriority w:val="99"/>
    <w:rPr>
      <w:rFonts w:ascii="Arial" w:hAnsi="Arial" w:eastAsia="Arial"/>
      <w:kern w:val="2"/>
      <w:sz w:val="21"/>
      <w:lang w:val="en-US" w:eastAsia="zh-CN" w:bidi="ar-SA"/>
    </w:rPr>
  </w:style>
  <w:style w:type="character" w:customStyle="1" w:styleId="42">
    <w:name w:val="批注文字 Char"/>
    <w:basedOn w:val="23"/>
    <w:semiHidden/>
    <w:qFormat/>
    <w:uiPriority w:val="99"/>
    <w:rPr>
      <w:rFonts w:ascii="@仿宋_GB2312" w:hAnsi="@仿宋_GB2312" w:eastAsia="@仿宋_GB2312" w:cs="@仿宋_GB2312"/>
      <w:szCs w:val="20"/>
    </w:rPr>
  </w:style>
  <w:style w:type="character" w:customStyle="1" w:styleId="43">
    <w:name w:val="批注文字 Char1"/>
    <w:link w:val="8"/>
    <w:qFormat/>
    <w:uiPriority w:val="0"/>
    <w:rPr>
      <w:rFonts w:ascii="Arial" w:hAnsi="Arial" w:eastAsia="黑体" w:cs="Arial"/>
      <w:szCs w:val="20"/>
    </w:rPr>
  </w:style>
  <w:style w:type="character" w:customStyle="1" w:styleId="44">
    <w:name w:val="标题 1 Char"/>
    <w:basedOn w:val="23"/>
    <w:link w:val="3"/>
    <w:qFormat/>
    <w:uiPriority w:val="9"/>
    <w:rPr>
      <w:rFonts w:ascii="@仿宋_GB2312" w:hAnsi="@仿宋_GB2312" w:eastAsia="@仿宋_GB2312" w:cs="@仿宋_GB2312"/>
      <w:b/>
      <w:bCs/>
      <w:kern w:val="44"/>
      <w:sz w:val="44"/>
      <w:szCs w:val="44"/>
    </w:rPr>
  </w:style>
  <w:style w:type="paragraph" w:customStyle="1" w:styleId="45">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semiHidden/>
    <w:qFormat/>
    <w:uiPriority w:val="9"/>
    <w:rPr>
      <w:rFonts w:ascii="@仿宋_GB2312" w:hAnsi="@仿宋_GB2312" w:eastAsia="@仿宋_GB2312" w:cs="@仿宋_GB2312"/>
      <w:b/>
      <w:bCs/>
      <w:sz w:val="32"/>
      <w:szCs w:val="32"/>
    </w:rPr>
  </w:style>
  <w:style w:type="character" w:customStyle="1" w:styleId="47">
    <w:name w:val="fontstyle01"/>
    <w:basedOn w:val="23"/>
    <w:qFormat/>
    <w:uiPriority w:val="0"/>
    <w:rPr>
      <w:rFonts w:hint="eastAsia" w:ascii="宋体" w:hAnsi="宋体" w:eastAsia="宋体"/>
      <w:color w:val="000000"/>
      <w:sz w:val="22"/>
      <w:szCs w:val="22"/>
    </w:rPr>
  </w:style>
  <w:style w:type="character" w:customStyle="1" w:styleId="48">
    <w:name w:val="fontstyle21"/>
    <w:basedOn w:val="23"/>
    <w:qFormat/>
    <w:uiPriority w:val="0"/>
    <w:rPr>
      <w:rFonts w:hint="default" w:ascii="TimesNewRomanPSMT" w:hAnsi="TimesNewRomanPSMT"/>
      <w:color w:val="000000"/>
      <w:sz w:val="22"/>
      <w:szCs w:val="22"/>
    </w:rPr>
  </w:style>
  <w:style w:type="character" w:customStyle="1" w:styleId="49">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semiHidden/>
    <w:qFormat/>
    <w:uiPriority w:val="9"/>
    <w:rPr>
      <w:rFonts w:asciiTheme="majorHAnsi" w:hAnsiTheme="majorHAnsi" w:eastAsiaTheme="majorEastAsia" w:cstheme="majorBidi"/>
      <w:b/>
      <w:bCs/>
      <w:sz w:val="28"/>
      <w:szCs w:val="28"/>
    </w:rPr>
  </w:style>
  <w:style w:type="character" w:customStyle="1" w:styleId="51">
    <w:name w:val="标题 4 Char1"/>
    <w:link w:val="6"/>
    <w:qFormat/>
    <w:uiPriority w:val="0"/>
    <w:rPr>
      <w:rFonts w:ascii="@仿宋_GB2312" w:hAnsi="@仿宋_GB2312" w:eastAsia="@仿宋_GB2312" w:cs="@仿宋_GB2312"/>
      <w:b/>
      <w:bCs/>
      <w:sz w:val="28"/>
      <w:szCs w:val="28"/>
    </w:rPr>
  </w:style>
  <w:style w:type="character" w:customStyle="1" w:styleId="52">
    <w:name w:val="标题 4 Char"/>
    <w:qFormat/>
    <w:uiPriority w:val="0"/>
    <w:rPr>
      <w:rFonts w:ascii="Arial" w:hAnsi="Arial" w:eastAsia="Arial"/>
      <w:b/>
      <w:bCs/>
      <w:kern w:val="2"/>
      <w:sz w:val="28"/>
      <w:szCs w:val="28"/>
      <w:lang w:val="en-US" w:eastAsia="zh-CN" w:bidi="ar-SA"/>
    </w:rPr>
  </w:style>
  <w:style w:type="table" w:customStyle="1" w:styleId="53">
    <w:name w:val="网格型1"/>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
    <w:name w:val="批注主题 Char"/>
    <w:basedOn w:val="43"/>
    <w:link w:val="19"/>
    <w:semiHidden/>
    <w:qFormat/>
    <w:uiPriority w:val="99"/>
    <w:rPr>
      <w:rFonts w:ascii="@仿宋_GB2312" w:hAnsi="@仿宋_GB2312" w:eastAsia="@仿宋_GB2312" w:cs="@仿宋_GB2312"/>
      <w:b/>
      <w:bCs/>
      <w:szCs w:val="20"/>
    </w:rPr>
  </w:style>
  <w:style w:type="table" w:customStyle="1" w:styleId="55">
    <w:name w:val="Table Normal"/>
    <w:semiHidden/>
    <w:unhideWhenUsed/>
    <w:qFormat/>
    <w:uiPriority w:val="0"/>
    <w:tblPr>
      <w:tblCellMar>
        <w:top w:w="0" w:type="dxa"/>
        <w:left w:w="0" w:type="dxa"/>
        <w:bottom w:w="0" w:type="dxa"/>
        <w:right w:w="0" w:type="dxa"/>
      </w:tblCellMar>
    </w:tblPr>
  </w:style>
  <w:style w:type="paragraph" w:customStyle="1" w:styleId="5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65</Pages>
  <Words>28839</Words>
  <Characters>29909</Characters>
  <Lines>244</Lines>
  <Paragraphs>68</Paragraphs>
  <TotalTime>3</TotalTime>
  <ScaleCrop>false</ScaleCrop>
  <LinksUpToDate>false</LinksUpToDate>
  <CharactersWithSpaces>32245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2019-12-07T15:18:00Z</cp:lastPrinted>
  <dcterms:modified xsi:type="dcterms:W3CDTF">2024-03-13T07:21:26Z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1ECEA165F94845FFAF35C1C96E4FB9B0_12</vt:lpwstr>
  </property>
</Properties>
</file>